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A1" w:rsidRDefault="004A4605" w:rsidP="00F2333D">
      <w:pPr>
        <w:pStyle w:val="Title"/>
      </w:pPr>
      <w:r w:rsidRPr="00A100AF">
        <w:t>SETTLEMENT AGREEMENT</w:t>
      </w:r>
      <w:r w:rsidR="00B34AAE" w:rsidRPr="00A100AF">
        <w:t xml:space="preserve"> AND RELEASE OF CLAIMS</w:t>
      </w:r>
    </w:p>
    <w:p w:rsidR="004A4605" w:rsidRPr="00A100AF" w:rsidRDefault="008B3E84" w:rsidP="00AA1588">
      <w:pPr>
        <w:pStyle w:val="Heading1"/>
      </w:pPr>
      <w:r w:rsidRPr="00A100AF">
        <w:t>This Settlement Agr</w:t>
      </w:r>
      <w:r w:rsidR="004A4605" w:rsidRPr="00A100AF">
        <w:t>eement (hereinafter “</w:t>
      </w:r>
      <w:r w:rsidRPr="00A100AF">
        <w:t xml:space="preserve">Agreement”) is entered into as of the Effective Date, as defined below in Section </w:t>
      </w:r>
      <w:r w:rsidR="00BF08A4">
        <w:t>3(</w:t>
      </w:r>
      <w:r w:rsidR="00901810">
        <w:t>e</w:t>
      </w:r>
      <w:r w:rsidR="00BF08A4">
        <w:t>)</w:t>
      </w:r>
      <w:r w:rsidRPr="00A100AF">
        <w:t>, by and between the following parties: Alicia Juarez (“Claimant</w:t>
      </w:r>
      <w:r w:rsidR="00BF08A4">
        <w:t>”</w:t>
      </w:r>
      <w:r w:rsidR="007067CD" w:rsidRPr="00A100AF">
        <w:t>) and</w:t>
      </w:r>
      <w:r w:rsidR="001F5F28" w:rsidRPr="00A100AF">
        <w:t xml:space="preserve"> the County of Los Angeles </w:t>
      </w:r>
      <w:r w:rsidRPr="00A100AF">
        <w:t>for the purposes and on the terms specified herein</w:t>
      </w:r>
      <w:r w:rsidR="00573F34" w:rsidRPr="00A100AF">
        <w:t>.</w:t>
      </w:r>
      <w:r w:rsidRPr="00A100AF">
        <w:t xml:space="preserve"> Claimant</w:t>
      </w:r>
      <w:r w:rsidR="007067CD" w:rsidRPr="00A100AF">
        <w:t xml:space="preserve"> and</w:t>
      </w:r>
      <w:r w:rsidR="001F5F28" w:rsidRPr="00A100AF">
        <w:t xml:space="preserve"> County</w:t>
      </w:r>
      <w:r w:rsidRPr="00A100AF">
        <w:t xml:space="preserve"> are at times referred to collectively herein as “the Parties.”</w:t>
      </w:r>
      <w:r w:rsidR="004D3209" w:rsidRPr="00A100AF">
        <w:t xml:space="preserve">  </w:t>
      </w:r>
    </w:p>
    <w:p w:rsidR="004A4605" w:rsidRPr="00A100AF" w:rsidRDefault="004A4605" w:rsidP="00A100AF"/>
    <w:p w:rsidR="004A4605" w:rsidRPr="007D2198" w:rsidRDefault="004A4605" w:rsidP="00F64BE2">
      <w:pPr>
        <w:pStyle w:val="Heading1"/>
        <w:tabs>
          <w:tab w:val="left" w:pos="630"/>
        </w:tabs>
      </w:pPr>
      <w:r w:rsidRPr="007D2198">
        <w:t>This Settlement Agreement is based on the following facts:</w:t>
      </w:r>
    </w:p>
    <w:p w:rsidR="004A4605" w:rsidRPr="007D2198" w:rsidRDefault="004A4605" w:rsidP="00A100AF">
      <w:pPr>
        <w:pStyle w:val="ListParagraph"/>
      </w:pPr>
    </w:p>
    <w:p w:rsidR="004A4605" w:rsidRPr="00A100AF" w:rsidRDefault="007067CD" w:rsidP="002C4408">
      <w:pPr>
        <w:pStyle w:val="Heading2"/>
      </w:pPr>
      <w:r w:rsidRPr="00A100AF">
        <w:t>County</w:t>
      </w:r>
      <w:r w:rsidR="001F5F28" w:rsidRPr="00A100AF">
        <w:t xml:space="preserve"> operates various</w:t>
      </w:r>
      <w:r w:rsidR="0056279B" w:rsidRPr="00A100AF">
        <w:t xml:space="preserve"> Jails</w:t>
      </w:r>
      <w:r w:rsidR="001F5F28" w:rsidRPr="00A100AF">
        <w:t xml:space="preserve"> in the County of Los Angeles through its Los Angeles County Sheriff’s Department (“LASD”). </w:t>
      </w:r>
      <w:r w:rsidR="004A4605" w:rsidRPr="00A100AF">
        <w:t xml:space="preserve">Through certain LASD </w:t>
      </w:r>
      <w:r w:rsidR="00C13243" w:rsidRPr="00A100AF">
        <w:t>Webpages</w:t>
      </w:r>
      <w:r w:rsidR="004A4605" w:rsidRPr="00A100AF">
        <w:t>, the County provides the public with information about LASD and its services,</w:t>
      </w:r>
      <w:r w:rsidRPr="00A100AF">
        <w:t xml:space="preserve"> including its </w:t>
      </w:r>
      <w:r w:rsidR="000F51BD">
        <w:t>Jails</w:t>
      </w:r>
      <w:r w:rsidRPr="00A100AF">
        <w:t>,</w:t>
      </w:r>
      <w:r w:rsidR="004A4605" w:rsidRPr="00A100AF">
        <w:t xml:space="preserve"> along with the ability to find </w:t>
      </w:r>
      <w:r w:rsidR="000F51BD">
        <w:t>inmate</w:t>
      </w:r>
      <w:r w:rsidR="004A4605" w:rsidRPr="00A100AF">
        <w:t xml:space="preserve"> information and schedule visits with </w:t>
      </w:r>
      <w:r w:rsidR="000F51BD">
        <w:t>inmates</w:t>
      </w:r>
      <w:r w:rsidR="004A4605" w:rsidRPr="00A100AF">
        <w:t>.</w:t>
      </w:r>
    </w:p>
    <w:p w:rsidR="004A4605" w:rsidRPr="007D2198" w:rsidRDefault="004A4605" w:rsidP="00A100AF">
      <w:pPr>
        <w:pStyle w:val="ListParagraph"/>
      </w:pPr>
    </w:p>
    <w:p w:rsidR="004A4605" w:rsidRPr="007D2198" w:rsidRDefault="004A4605" w:rsidP="002C4408">
      <w:pPr>
        <w:pStyle w:val="Heading2"/>
      </w:pPr>
      <w:r w:rsidRPr="007D2198">
        <w:t xml:space="preserve">Claimant Alicia Juarez </w:t>
      </w:r>
      <w:r w:rsidR="00453B2A" w:rsidRPr="007D2198">
        <w:t>has</w:t>
      </w:r>
      <w:r w:rsidRPr="007D2198">
        <w:t xml:space="preserve"> a visual impairment, and </w:t>
      </w:r>
      <w:r w:rsidR="00453B2A" w:rsidRPr="007D2198">
        <w:t>has</w:t>
      </w:r>
      <w:r w:rsidRPr="007D2198">
        <w:t xml:space="preserve"> a disability within the meaning of the Americans with Disabilities Act (“ADA”), Section 504 of the </w:t>
      </w:r>
      <w:r w:rsidR="001F5F28" w:rsidRPr="007D2198">
        <w:t>Rehabilitation</w:t>
      </w:r>
      <w:r w:rsidRPr="007D2198">
        <w:t xml:space="preserve"> Act of 1973 (“504”), and the laws of the State of California.</w:t>
      </w:r>
    </w:p>
    <w:p w:rsidR="004A4605" w:rsidRPr="007D2198" w:rsidRDefault="004A4605" w:rsidP="00A100AF">
      <w:pPr>
        <w:pStyle w:val="ListParagraph"/>
      </w:pPr>
    </w:p>
    <w:p w:rsidR="008B3E84" w:rsidRPr="007D2198" w:rsidRDefault="004A4605" w:rsidP="002C4408">
      <w:pPr>
        <w:pStyle w:val="Heading2"/>
      </w:pPr>
      <w:r w:rsidRPr="007D2198">
        <w:t xml:space="preserve">A dispute has arisen between Claimant and </w:t>
      </w:r>
      <w:r w:rsidR="001F5F28" w:rsidRPr="007D2198">
        <w:t>County</w:t>
      </w:r>
      <w:r w:rsidRPr="007D2198">
        <w:t xml:space="preserve"> concerning the extent to which the</w:t>
      </w:r>
      <w:r w:rsidR="001F5F28" w:rsidRPr="007D2198">
        <w:t xml:space="preserve"> County is</w:t>
      </w:r>
      <w:r w:rsidRPr="007D2198">
        <w:t xml:space="preserve"> </w:t>
      </w:r>
      <w:r w:rsidR="008B3E84" w:rsidRPr="007D2198">
        <w:t>legally obligated to ensure tha</w:t>
      </w:r>
      <w:r w:rsidR="001F5F28" w:rsidRPr="007D2198">
        <w:t>t LASD Webpages</w:t>
      </w:r>
      <w:r w:rsidRPr="007D2198">
        <w:t>, including its Inmate Information Center and Inmate Visiting Scheduling System</w:t>
      </w:r>
      <w:r w:rsidR="008B3E84" w:rsidRPr="007D2198">
        <w:t xml:space="preserve"> are accessible to Persons with Vis</w:t>
      </w:r>
      <w:r w:rsidRPr="007D2198">
        <w:t>ual Impairments (“the Dispute”).</w:t>
      </w:r>
    </w:p>
    <w:p w:rsidR="004A4605" w:rsidRPr="007D2198" w:rsidRDefault="004A4605" w:rsidP="00A100AF">
      <w:pPr>
        <w:pStyle w:val="ListParagraph"/>
      </w:pPr>
    </w:p>
    <w:p w:rsidR="008B3E84" w:rsidRPr="007D2198" w:rsidRDefault="004A4605" w:rsidP="002C4408">
      <w:pPr>
        <w:pStyle w:val="Heading2"/>
      </w:pPr>
      <w:r w:rsidRPr="007D2198">
        <w:t>On or about</w:t>
      </w:r>
      <w:r w:rsidR="001A371C" w:rsidRPr="007D2198">
        <w:t xml:space="preserve"> January 16, 2014</w:t>
      </w:r>
      <w:r w:rsidR="00113E76" w:rsidRPr="007D2198">
        <w:t>, Claiman</w:t>
      </w:r>
      <w:r w:rsidR="001F5F28" w:rsidRPr="007D2198">
        <w:t>t</w:t>
      </w:r>
      <w:r w:rsidR="00113E76" w:rsidRPr="007D2198">
        <w:t xml:space="preserve"> notified the County</w:t>
      </w:r>
      <w:r w:rsidR="008B3E84" w:rsidRPr="007D2198">
        <w:t xml:space="preserve"> about the Dispute and offered to engage in Structured Negotiations, in lieu of litigation, to resolv</w:t>
      </w:r>
      <w:r w:rsidR="001A371C" w:rsidRPr="007D2198">
        <w:t>e the Dispute. On April 18, 2014</w:t>
      </w:r>
      <w:r w:rsidR="008B3E84" w:rsidRPr="007D2198">
        <w:t xml:space="preserve">, the Parties executed a Structured Negotiations Agreement to protect the interests of all Parties during those negotiations. Since executing that agreement, the Parties have engaged in good faith negotiations and shared relevant information regarding the Dispute. The Parties now enter into this Settlement Agreement in order to </w:t>
      </w:r>
      <w:r w:rsidR="008B3E84" w:rsidRPr="007D2198">
        <w:lastRenderedPageBreak/>
        <w:t>resolve the Dispute and to avoid the burden, expense, and risk of potential litigation.</w:t>
      </w:r>
    </w:p>
    <w:p w:rsidR="00113E76" w:rsidRPr="007D2198" w:rsidRDefault="00113E76" w:rsidP="00A100AF">
      <w:pPr>
        <w:pStyle w:val="ListParagraph"/>
      </w:pPr>
    </w:p>
    <w:p w:rsidR="002D2C9F" w:rsidRPr="003018F6" w:rsidRDefault="00113E76" w:rsidP="002D2C9F">
      <w:pPr>
        <w:pStyle w:val="Heading2"/>
      </w:pPr>
      <w:r w:rsidRPr="007D2198">
        <w:t>The objective of the parties in entering into this Agreement is to</w:t>
      </w:r>
      <w:r w:rsidR="001F5F28" w:rsidRPr="007D2198">
        <w:t xml:space="preserve"> ensure that </w:t>
      </w:r>
      <w:r w:rsidRPr="007D2198">
        <w:t>LASD</w:t>
      </w:r>
      <w:r w:rsidR="00B34AAE" w:rsidRPr="007D2198">
        <w:t xml:space="preserve"> </w:t>
      </w:r>
      <w:r w:rsidR="001F5F28" w:rsidRPr="007D2198">
        <w:t>Webpages</w:t>
      </w:r>
      <w:r w:rsidRPr="007D2198">
        <w:t>, including its Inmate Information Center and Inmate Visiting Scheduling System</w:t>
      </w:r>
      <w:r w:rsidR="00573F34" w:rsidRPr="007D2198">
        <w:t xml:space="preserve"> </w:t>
      </w:r>
      <w:r w:rsidR="00573F34" w:rsidRPr="003018F6">
        <w:t>are accessible to and usable by Persons with Visual Impairments</w:t>
      </w:r>
      <w:r w:rsidRPr="003018F6">
        <w:t>.</w:t>
      </w:r>
      <w:r w:rsidR="002D2C9F" w:rsidRPr="003018F6">
        <w:br/>
      </w:r>
    </w:p>
    <w:p w:rsidR="002D2C9F" w:rsidRPr="003018F6" w:rsidRDefault="002D2C9F" w:rsidP="00AC668D">
      <w:pPr>
        <w:pStyle w:val="Heading2"/>
      </w:pPr>
      <w:r w:rsidRPr="003018F6">
        <w:t xml:space="preserve">This Agreement is subject to the approval of the County of </w:t>
      </w:r>
    </w:p>
    <w:p w:rsidR="002D2C9F" w:rsidRPr="003018F6" w:rsidRDefault="002D2C9F" w:rsidP="00A45B17">
      <w:pPr>
        <w:ind w:left="720" w:firstLine="720"/>
      </w:pPr>
      <w:r w:rsidRPr="000B1338">
        <w:t>Los Angeles Claims Board</w:t>
      </w:r>
      <w:r w:rsidR="009F45FE" w:rsidRPr="000B1338">
        <w:t>.</w:t>
      </w:r>
    </w:p>
    <w:p w:rsidR="002C4408" w:rsidRPr="003018F6" w:rsidRDefault="002C4408" w:rsidP="002C4408"/>
    <w:p w:rsidR="001F5F28" w:rsidRDefault="008B3E84" w:rsidP="002C4408">
      <w:r w:rsidRPr="003018F6">
        <w:t>NOW, THEREFORE,</w:t>
      </w:r>
      <w:r w:rsidR="00113E76" w:rsidRPr="003018F6">
        <w:t xml:space="preserve"> FOR AND IN CONSIDERATION OF the mutual</w:t>
      </w:r>
      <w:r w:rsidR="00113E76" w:rsidRPr="007D2198">
        <w:t xml:space="preserve"> covenants set forth herein, the </w:t>
      </w:r>
      <w:r w:rsidR="001F5F28" w:rsidRPr="007D2198">
        <w:t>Parties agree as follows</w:t>
      </w:r>
      <w:r w:rsidR="002C4408">
        <w:t>:</w:t>
      </w:r>
    </w:p>
    <w:p w:rsidR="002C4408" w:rsidRPr="007D2198" w:rsidRDefault="002C4408" w:rsidP="002C4408"/>
    <w:p w:rsidR="006A5D8C" w:rsidRDefault="008B3E84" w:rsidP="006802BC">
      <w:pPr>
        <w:pStyle w:val="Heading1"/>
        <w:tabs>
          <w:tab w:val="left" w:pos="630"/>
        </w:tabs>
      </w:pPr>
      <w:r w:rsidRPr="007D2198">
        <w:t xml:space="preserve"> </w:t>
      </w:r>
      <w:r w:rsidR="004872A3" w:rsidRPr="004872A3">
        <w:rPr>
          <w:b/>
        </w:rPr>
        <w:t>Definitions</w:t>
      </w:r>
    </w:p>
    <w:p w:rsidR="00EF3DA1" w:rsidRDefault="008B3E84">
      <w:pPr>
        <w:pStyle w:val="Heading1"/>
        <w:numPr>
          <w:ilvl w:val="0"/>
          <w:numId w:val="0"/>
        </w:numPr>
        <w:ind w:left="720"/>
      </w:pPr>
      <w:r w:rsidRPr="007D2198">
        <w:t xml:space="preserve">As used in this Settlement Agreement, the following terms </w:t>
      </w:r>
      <w:r w:rsidR="0042307F">
        <w:t>will</w:t>
      </w:r>
      <w:r w:rsidRPr="007D2198">
        <w:t xml:space="preserve"> have the meanings defined below</w:t>
      </w:r>
      <w:r w:rsidR="000321F6" w:rsidRPr="00852200">
        <w:t>:</w:t>
      </w:r>
    </w:p>
    <w:p w:rsidR="002C4408" w:rsidRPr="002C4408" w:rsidRDefault="002C4408" w:rsidP="002C4408"/>
    <w:p w:rsidR="00B34AAE" w:rsidRPr="002107C4" w:rsidRDefault="00113E76" w:rsidP="002C4408">
      <w:pPr>
        <w:pStyle w:val="Heading2"/>
        <w:numPr>
          <w:ilvl w:val="0"/>
          <w:numId w:val="28"/>
        </w:numPr>
      </w:pPr>
      <w:r w:rsidRPr="002107C4">
        <w:t xml:space="preserve">“Accessible PDF” means a PDF document </w:t>
      </w:r>
      <w:r w:rsidR="008B3E84" w:rsidRPr="002107C4">
        <w:t xml:space="preserve">that satisfies </w:t>
      </w:r>
      <w:r w:rsidR="008B3E84" w:rsidRPr="0006069D">
        <w:t>WCAG 2.0 Conformance Level AA Success Criteria</w:t>
      </w:r>
      <w:r w:rsidR="00B34AAE" w:rsidRPr="002107C4">
        <w:t>.</w:t>
      </w:r>
    </w:p>
    <w:p w:rsidR="00B34AAE" w:rsidRPr="00A100AF" w:rsidRDefault="00B34AAE" w:rsidP="002C4408"/>
    <w:p w:rsidR="00B34AAE" w:rsidRDefault="00113E76" w:rsidP="002C4408">
      <w:pPr>
        <w:pStyle w:val="Heading2"/>
      </w:pPr>
      <w:r w:rsidRPr="00A100AF">
        <w:t>“</w:t>
      </w:r>
      <w:r w:rsidR="0056279B" w:rsidRPr="00A100AF">
        <w:t xml:space="preserve">Claimant’s </w:t>
      </w:r>
      <w:r w:rsidRPr="00A100AF">
        <w:t xml:space="preserve">Counsel” </w:t>
      </w:r>
      <w:r w:rsidR="0056279B" w:rsidRPr="00A100AF">
        <w:t xml:space="preserve">means </w:t>
      </w:r>
      <w:r w:rsidRPr="00A100AF">
        <w:t>Disability Rights California</w:t>
      </w:r>
      <w:r w:rsidR="008B3E84" w:rsidRPr="00A100AF">
        <w:t xml:space="preserve"> and the Law Office of Lainey Feingold, and the attorneys practicing law therein</w:t>
      </w:r>
      <w:r w:rsidR="00B34AAE" w:rsidRPr="007D2198">
        <w:t>.</w:t>
      </w:r>
    </w:p>
    <w:p w:rsidR="00056CF4" w:rsidRPr="00056CF4" w:rsidRDefault="00056CF4" w:rsidP="00056CF4"/>
    <w:p w:rsidR="00056CF4" w:rsidRPr="00056CF4" w:rsidRDefault="00056CF4" w:rsidP="00056CF4">
      <w:pPr>
        <w:pStyle w:val="Heading2"/>
      </w:pPr>
      <w:r>
        <w:t>“Complaint(s)” means</w:t>
      </w:r>
      <w:r w:rsidR="00CD4944">
        <w:t xml:space="preserve"> written or oral</w:t>
      </w:r>
      <w:r>
        <w:t xml:space="preserve"> reasonable accommodation requests, </w:t>
      </w:r>
      <w:r w:rsidR="00CD4944">
        <w:t>grievances, or other requests or complaints about accessibility of LASD Webpages.</w:t>
      </w:r>
    </w:p>
    <w:p w:rsidR="00EF3DA1" w:rsidRDefault="00EF3DA1"/>
    <w:p w:rsidR="004436E4" w:rsidRDefault="00537220" w:rsidP="002C4408">
      <w:pPr>
        <w:pStyle w:val="Heading2"/>
        <w:rPr>
          <w:b/>
          <w:color w:val="FF0000"/>
        </w:rPr>
      </w:pPr>
      <w:r>
        <w:t xml:space="preserve">“Compliance Date” means </w:t>
      </w:r>
      <w:r w:rsidR="004436E4">
        <w:t>180 days from the Effective Date.</w:t>
      </w:r>
    </w:p>
    <w:p w:rsidR="004436E4" w:rsidRPr="004436E4" w:rsidRDefault="004436E4" w:rsidP="004436E4"/>
    <w:p w:rsidR="00115B2C" w:rsidRDefault="00B34AAE" w:rsidP="002C4408">
      <w:pPr>
        <w:pStyle w:val="Heading2"/>
      </w:pPr>
      <w:r w:rsidRPr="007D2198">
        <w:t>“</w:t>
      </w:r>
      <w:r w:rsidR="008B3E84" w:rsidRPr="00A100AF">
        <w:t>Effect</w:t>
      </w:r>
      <w:r w:rsidR="00113E76" w:rsidRPr="00A100AF">
        <w:t>ive Date</w:t>
      </w:r>
      <w:r w:rsidRPr="007D2198">
        <w:t>”</w:t>
      </w:r>
      <w:r w:rsidR="00113E76" w:rsidRPr="00A100AF">
        <w:t xml:space="preserve"> means</w:t>
      </w:r>
      <w:r w:rsidR="004436E4">
        <w:t xml:space="preserve"> the date </w:t>
      </w:r>
      <w:r w:rsidR="00592071">
        <w:t>that this Agreement is approved by the County of Los Angeles Claims Board.</w:t>
      </w:r>
    </w:p>
    <w:p w:rsidR="004436E4" w:rsidRPr="004436E4" w:rsidRDefault="004436E4" w:rsidP="004436E4"/>
    <w:p w:rsidR="003B786B" w:rsidRPr="00852200" w:rsidRDefault="003B786B" w:rsidP="002C4408">
      <w:pPr>
        <w:pStyle w:val="Heading2"/>
      </w:pPr>
      <w:r w:rsidRPr="007D2198">
        <w:rPr>
          <w:rFonts w:eastAsiaTheme="majorEastAsia"/>
        </w:rPr>
        <w:t>“Jail” or “Jail Settings” means any custody facility under LASD authority and control, including facilities at LASD stations and substations.</w:t>
      </w:r>
    </w:p>
    <w:p w:rsidR="003B786B" w:rsidRPr="00A100AF" w:rsidRDefault="003B786B" w:rsidP="002C4408"/>
    <w:p w:rsidR="00115B2C" w:rsidRPr="00A100AF" w:rsidRDefault="00F81B74" w:rsidP="00F64BE2">
      <w:pPr>
        <w:pStyle w:val="Heading2"/>
        <w:tabs>
          <w:tab w:val="left" w:pos="1350"/>
        </w:tabs>
      </w:pPr>
      <w:r w:rsidRPr="007D2198">
        <w:t xml:space="preserve">“LASD Webpages” means </w:t>
      </w:r>
      <w:r w:rsidR="00D11E21">
        <w:t>LASD</w:t>
      </w:r>
      <w:r w:rsidR="00D11E21" w:rsidRPr="007D2198">
        <w:t xml:space="preserve"> </w:t>
      </w:r>
      <w:r w:rsidRPr="007D2198">
        <w:t>owned</w:t>
      </w:r>
      <w:r w:rsidR="004C3F55">
        <w:t>,</w:t>
      </w:r>
      <w:r w:rsidRPr="007D2198">
        <w:t xml:space="preserve"> operated</w:t>
      </w:r>
      <w:r w:rsidR="004C3F55">
        <w:t>, or controlled</w:t>
      </w:r>
      <w:r w:rsidRPr="007D2198">
        <w:t xml:space="preserve"> webpages that allow the public to obtain information about LASD and its services, including </w:t>
      </w:r>
      <w:r w:rsidRPr="00852200">
        <w:t xml:space="preserve">its </w:t>
      </w:r>
      <w:r w:rsidR="00E94F6B">
        <w:t>Jails</w:t>
      </w:r>
      <w:r w:rsidRPr="00852200">
        <w:t xml:space="preserve">, along with the ability to find </w:t>
      </w:r>
      <w:r w:rsidR="00E94F6B">
        <w:t>inmate</w:t>
      </w:r>
      <w:r w:rsidRPr="00852200">
        <w:t xml:space="preserve"> information and schedule visits with </w:t>
      </w:r>
      <w:r w:rsidR="00E94F6B">
        <w:t>inmates</w:t>
      </w:r>
      <w:r w:rsidRPr="00852200">
        <w:t>. These webpages include LASD’s main website</w:t>
      </w:r>
      <w:r w:rsidRPr="007D2198">
        <w:t xml:space="preserve"> (</w:t>
      </w:r>
      <w:r w:rsidRPr="00852200">
        <w:rPr>
          <w:rStyle w:val="hyperlinkchar"/>
        </w:rPr>
        <w:t>http://sheriff.lacounty.gov/wps/portal/lasd</w:t>
      </w:r>
      <w:r w:rsidRPr="00852200">
        <w:rPr>
          <w:rFonts w:eastAsiaTheme="majorEastAsia"/>
        </w:rPr>
        <w:t>)</w:t>
      </w:r>
      <w:r w:rsidRPr="00852200">
        <w:t>, Inmate Information Center</w:t>
      </w:r>
      <w:r w:rsidRPr="007D2198">
        <w:t xml:space="preserve"> (</w:t>
      </w:r>
      <w:hyperlink r:id="rId8" w:history="1">
        <w:r w:rsidRPr="007D2198">
          <w:rPr>
            <w:rStyle w:val="Hyperlink"/>
            <w:color w:val="auto"/>
            <w:u w:val="none"/>
          </w:rPr>
          <w:t>http://</w:t>
        </w:r>
        <w:r w:rsidRPr="007D2198">
          <w:rPr>
            <w:rStyle w:val="Hyperlink"/>
            <w:rFonts w:eastAsiaTheme="majorEastAsia"/>
            <w:color w:val="auto"/>
            <w:u w:val="none"/>
          </w:rPr>
          <w:t>www.visit.lasd.org/app</w:t>
        </w:r>
      </w:hyperlink>
      <w:r w:rsidRPr="007D2198">
        <w:rPr>
          <w:rFonts w:eastAsiaTheme="majorEastAsia"/>
        </w:rPr>
        <w:t xml:space="preserve">), </w:t>
      </w:r>
      <w:r w:rsidR="003B786B" w:rsidRPr="00A100AF">
        <w:t xml:space="preserve">and Inmate Visiting Scheduling System </w:t>
      </w:r>
      <w:r w:rsidR="003B786B" w:rsidRPr="007D2198">
        <w:t>(</w:t>
      </w:r>
      <w:hyperlink r:id="rId9" w:history="1">
        <w:r w:rsidR="003B786B" w:rsidRPr="00A100AF">
          <w:rPr>
            <w:rStyle w:val="Hyperlink"/>
            <w:color w:val="auto"/>
            <w:u w:val="none"/>
          </w:rPr>
          <w:t>http://</w:t>
        </w:r>
        <w:r w:rsidR="003B786B" w:rsidRPr="00A100AF">
          <w:rPr>
            <w:rStyle w:val="Hyperlink"/>
            <w:rFonts w:eastAsiaTheme="majorEastAsia"/>
            <w:color w:val="auto"/>
            <w:u w:val="none"/>
          </w:rPr>
          <w:t>www.visit.lasd.org/app</w:t>
        </w:r>
      </w:hyperlink>
      <w:r w:rsidR="003B786B" w:rsidRPr="007D2198">
        <w:rPr>
          <w:rFonts w:eastAsiaTheme="majorEastAsia"/>
        </w:rPr>
        <w:t>).</w:t>
      </w:r>
      <w:r w:rsidR="003B786B" w:rsidRPr="007D2198" w:rsidDel="00B34AAE">
        <w:t xml:space="preserve"> </w:t>
      </w:r>
    </w:p>
    <w:p w:rsidR="006D1E47" w:rsidRPr="007D2198" w:rsidRDefault="006D1E47" w:rsidP="002C4408"/>
    <w:p w:rsidR="003B786B" w:rsidRDefault="00F81B74" w:rsidP="002C4408">
      <w:pPr>
        <w:pStyle w:val="Heading2"/>
      </w:pPr>
      <w:r w:rsidRPr="00852200">
        <w:t xml:space="preserve">“Person(s) with a Visual Impairment” means any person who has a physical, mental, or sensory impairment that </w:t>
      </w:r>
      <w:r w:rsidRPr="007D2198">
        <w:t>limits him or her in the major life activity of seeing.</w:t>
      </w:r>
    </w:p>
    <w:p w:rsidR="0042307F" w:rsidRDefault="0042307F" w:rsidP="00AC7A25">
      <w:pPr>
        <w:ind w:left="720"/>
      </w:pPr>
    </w:p>
    <w:p w:rsidR="0042307F" w:rsidRPr="0042307F" w:rsidRDefault="0042307F" w:rsidP="00AC7A25">
      <w:pPr>
        <w:ind w:left="720"/>
      </w:pPr>
      <w:proofErr w:type="spellStart"/>
      <w:r>
        <w:t>i</w:t>
      </w:r>
      <w:proofErr w:type="spellEnd"/>
      <w:r>
        <w:t xml:space="preserve">. </w:t>
      </w:r>
      <w:r>
        <w:tab/>
        <w:t>“Will” refers to a mandatory obligation of the Parties.</w:t>
      </w:r>
    </w:p>
    <w:p w:rsidR="003B786B" w:rsidRPr="00A100AF" w:rsidRDefault="003B786B" w:rsidP="002C4408"/>
    <w:p w:rsidR="0056279B" w:rsidRDefault="004872A3" w:rsidP="004436E4">
      <w:pPr>
        <w:pStyle w:val="Heading1"/>
      </w:pPr>
      <w:r w:rsidRPr="004872A3">
        <w:rPr>
          <w:rFonts w:eastAsiaTheme="majorEastAsia"/>
          <w:b/>
        </w:rPr>
        <w:t>Term</w:t>
      </w:r>
      <w:r w:rsidR="00232EF3">
        <w:rPr>
          <w:rFonts w:eastAsiaTheme="majorEastAsia"/>
        </w:rPr>
        <w:br/>
      </w:r>
      <w:r w:rsidR="008B3E84" w:rsidRPr="007D2198">
        <w:t xml:space="preserve">The term of this Settlement Agreement </w:t>
      </w:r>
      <w:r w:rsidR="0042307F">
        <w:t>will</w:t>
      </w:r>
      <w:r w:rsidR="008B3E84" w:rsidRPr="007D2198">
        <w:t xml:space="preserve"> commence as of the Effective Date and remain in effect through</w:t>
      </w:r>
      <w:r w:rsidR="004436E4">
        <w:t xml:space="preserve"> one (1) year from the Compliance Date.</w:t>
      </w:r>
    </w:p>
    <w:p w:rsidR="00AA1588" w:rsidRPr="007D2198" w:rsidRDefault="00AA1588" w:rsidP="00AA1588"/>
    <w:p w:rsidR="00481168" w:rsidRDefault="004872A3">
      <w:pPr>
        <w:pStyle w:val="Heading1"/>
        <w:rPr>
          <w:b/>
        </w:rPr>
      </w:pPr>
      <w:r w:rsidRPr="004872A3">
        <w:rPr>
          <w:b/>
        </w:rPr>
        <w:t>Provision of Website Accessibility</w:t>
      </w:r>
    </w:p>
    <w:p w:rsidR="00481168" w:rsidRDefault="001209CB" w:rsidP="003A6BA7">
      <w:pPr>
        <w:pStyle w:val="Heading1"/>
        <w:numPr>
          <w:ilvl w:val="0"/>
          <w:numId w:val="0"/>
        </w:numPr>
        <w:ind w:left="720"/>
        <w:rPr>
          <w:b/>
        </w:rPr>
      </w:pPr>
      <w:r>
        <w:t xml:space="preserve">The County </w:t>
      </w:r>
      <w:r w:rsidR="0042307F">
        <w:t>will</w:t>
      </w:r>
      <w:r>
        <w:t xml:space="preserve"> complete the obligations </w:t>
      </w:r>
      <w:r w:rsidR="00292EA2">
        <w:t>of this Agreement</w:t>
      </w:r>
      <w:r>
        <w:t xml:space="preserve"> below by the Compliance Date,</w:t>
      </w:r>
      <w:r w:rsidR="007D2415">
        <w:t xml:space="preserve"> including Sections 5</w:t>
      </w:r>
      <w:r w:rsidR="008E38D1">
        <w:t xml:space="preserve"> through</w:t>
      </w:r>
      <w:r w:rsidR="003A6BA7">
        <w:t xml:space="preserve"> 9, </w:t>
      </w:r>
      <w:r>
        <w:t xml:space="preserve">unless a different date is specifically provided. </w:t>
      </w:r>
    </w:p>
    <w:p w:rsidR="00EF3DA1" w:rsidRDefault="00EF3DA1">
      <w:pPr>
        <w:pStyle w:val="Heading1"/>
        <w:numPr>
          <w:ilvl w:val="0"/>
          <w:numId w:val="0"/>
        </w:numPr>
      </w:pPr>
    </w:p>
    <w:p w:rsidR="00EF3DA1" w:rsidRPr="0006069D" w:rsidRDefault="00CA20C1">
      <w:pPr>
        <w:pStyle w:val="Heading2"/>
        <w:numPr>
          <w:ilvl w:val="0"/>
          <w:numId w:val="29"/>
        </w:numPr>
      </w:pPr>
      <w:r w:rsidRPr="0006069D">
        <w:rPr>
          <w:b/>
        </w:rPr>
        <w:t>Access Standard</w:t>
      </w:r>
    </w:p>
    <w:p w:rsidR="00EF3DA1" w:rsidRDefault="00A200E7">
      <w:pPr>
        <w:pStyle w:val="Heading2"/>
        <w:numPr>
          <w:ilvl w:val="0"/>
          <w:numId w:val="0"/>
        </w:numPr>
        <w:ind w:left="1440"/>
      </w:pPr>
      <w:r w:rsidRPr="0006069D">
        <w:t>The County</w:t>
      </w:r>
      <w:r w:rsidR="00917D07" w:rsidRPr="0006069D">
        <w:t xml:space="preserve"> </w:t>
      </w:r>
      <w:r w:rsidR="00FE3D36">
        <w:t>will</w:t>
      </w:r>
      <w:r w:rsidR="00FE3D36" w:rsidRPr="0006069D">
        <w:t xml:space="preserve"> </w:t>
      </w:r>
      <w:r w:rsidRPr="0006069D">
        <w:t>ensure that LASD Webpages comply with</w:t>
      </w:r>
      <w:r w:rsidR="000E315E" w:rsidRPr="003018F6">
        <w:t xml:space="preserve"> </w:t>
      </w:r>
      <w:r w:rsidRPr="0006069D">
        <w:t xml:space="preserve">the Web Content Accessibility Guidelines (WCAG) 2.0, Conformance Level AA Success Criteria (“Access Standard”) </w:t>
      </w:r>
      <w:r w:rsidR="007D2415" w:rsidRPr="0006069D">
        <w:t xml:space="preserve">by Compliance Date. </w:t>
      </w:r>
      <w:r w:rsidRPr="0006069D">
        <w:t>The Parties acknowledge that some</w:t>
      </w:r>
      <w:r w:rsidRPr="00A100AF">
        <w:t xml:space="preserve"> WCAG Conformance Level AA Success Criteria</w:t>
      </w:r>
      <w:r w:rsidR="001302CD">
        <w:t xml:space="preserve"> (“Success Criteria”)</w:t>
      </w:r>
      <w:r w:rsidRPr="00A100AF">
        <w:t xml:space="preserve"> address features or design elements that may not be used on LASD Webpages, and in such circumstances compliance with those Success Criteria will not be required.</w:t>
      </w:r>
    </w:p>
    <w:p w:rsidR="006802BC" w:rsidRPr="006802BC" w:rsidRDefault="006802BC" w:rsidP="006802BC"/>
    <w:p w:rsidR="00AA1588" w:rsidRPr="00A100AF" w:rsidRDefault="00AA1588" w:rsidP="00AA1588">
      <w:pPr>
        <w:rPr>
          <w:b/>
          <w:bCs/>
        </w:rPr>
      </w:pPr>
    </w:p>
    <w:p w:rsidR="00CA20C1" w:rsidRPr="00CA20C1" w:rsidRDefault="00A200E7" w:rsidP="00AA1588">
      <w:pPr>
        <w:pStyle w:val="Heading2"/>
        <w:numPr>
          <w:ilvl w:val="0"/>
          <w:numId w:val="29"/>
        </w:numPr>
        <w:rPr>
          <w:b/>
        </w:rPr>
      </w:pPr>
      <w:r w:rsidRPr="00AA1588">
        <w:rPr>
          <w:b/>
          <w:bCs/>
        </w:rPr>
        <w:lastRenderedPageBreak/>
        <w:t xml:space="preserve">CAPTCHAs </w:t>
      </w:r>
    </w:p>
    <w:p w:rsidR="00EF3DA1" w:rsidRDefault="00A200E7">
      <w:pPr>
        <w:pStyle w:val="Heading2"/>
        <w:numPr>
          <w:ilvl w:val="0"/>
          <w:numId w:val="0"/>
        </w:numPr>
        <w:ind w:left="1440"/>
        <w:rPr>
          <w:b/>
        </w:rPr>
      </w:pPr>
      <w:r w:rsidRPr="00AA1588">
        <w:rPr>
          <w:bCs/>
        </w:rPr>
        <w:t xml:space="preserve">County </w:t>
      </w:r>
      <w:r w:rsidR="007D2415">
        <w:rPr>
          <w:bCs/>
        </w:rPr>
        <w:t xml:space="preserve">must </w:t>
      </w:r>
      <w:r w:rsidRPr="00AA1588">
        <w:rPr>
          <w:bCs/>
        </w:rPr>
        <w:t>ensure that</w:t>
      </w:r>
      <w:r w:rsidR="00C16F34">
        <w:rPr>
          <w:bCs/>
        </w:rPr>
        <w:t xml:space="preserve"> any</w:t>
      </w:r>
      <w:r w:rsidRPr="00A100AF">
        <w:t xml:space="preserve"> Completely Automated Public Turing Test to Tell Computers and Humans Apart or similar visual or textual Turing or reverse-Turing verification test (referred herein as “CAPTCHA”) or an alternative security measure is usable by and accessible to Persons with Visual Impairments.</w:t>
      </w:r>
    </w:p>
    <w:p w:rsidR="00A200E7" w:rsidRPr="00A100AF" w:rsidRDefault="00A200E7" w:rsidP="00A100AF">
      <w:pPr>
        <w:pStyle w:val="ListParagraph"/>
      </w:pPr>
    </w:p>
    <w:p w:rsidR="00CA20C1" w:rsidRPr="00CA20C1" w:rsidRDefault="00A200E7" w:rsidP="00AA1588">
      <w:pPr>
        <w:pStyle w:val="Heading2"/>
        <w:rPr>
          <w:b/>
        </w:rPr>
      </w:pPr>
      <w:r w:rsidRPr="00A100AF">
        <w:rPr>
          <w:b/>
          <w:bCs/>
        </w:rPr>
        <w:t>PDF Documents</w:t>
      </w:r>
      <w:r w:rsidRPr="00A100AF">
        <w:t xml:space="preserve"> </w:t>
      </w:r>
    </w:p>
    <w:p w:rsidR="00EF3DA1" w:rsidRDefault="00A200E7">
      <w:pPr>
        <w:pStyle w:val="Heading2"/>
        <w:numPr>
          <w:ilvl w:val="0"/>
          <w:numId w:val="0"/>
        </w:numPr>
        <w:ind w:left="1440"/>
      </w:pPr>
      <w:r w:rsidRPr="00A100AF">
        <w:t xml:space="preserve">County </w:t>
      </w:r>
      <w:r w:rsidR="007D2415">
        <w:t xml:space="preserve">must </w:t>
      </w:r>
      <w:r w:rsidRPr="00A100AF">
        <w:t>ensure that all PDF documents posted on the LASD Webpages are Accessible PDFs</w:t>
      </w:r>
      <w:r w:rsidR="008548BF">
        <w:t>, which are searchable and can be accessed by people using JAWS and other screen-reader technology.</w:t>
      </w:r>
    </w:p>
    <w:p w:rsidR="00BD4C61" w:rsidRPr="00A100AF" w:rsidRDefault="00BD4C61" w:rsidP="00AA1588"/>
    <w:p w:rsidR="00AF7529" w:rsidRPr="007654C7" w:rsidRDefault="004872A3" w:rsidP="00AA1588">
      <w:pPr>
        <w:pStyle w:val="Heading2"/>
        <w:rPr>
          <w:b/>
        </w:rPr>
      </w:pPr>
      <w:r w:rsidRPr="0006069D">
        <w:rPr>
          <w:b/>
        </w:rPr>
        <w:t xml:space="preserve">LASD Webpages Accessibility </w:t>
      </w:r>
      <w:r w:rsidR="00A51052" w:rsidRPr="003018F6">
        <w:rPr>
          <w:b/>
        </w:rPr>
        <w:t>Statement</w:t>
      </w:r>
    </w:p>
    <w:p w:rsidR="00AF7529" w:rsidRPr="0006069D" w:rsidRDefault="00AF7529" w:rsidP="00A100AF">
      <w:pPr>
        <w:pStyle w:val="ListParagraph"/>
      </w:pPr>
    </w:p>
    <w:p w:rsidR="00237E80" w:rsidRPr="007654C7" w:rsidRDefault="00A51052" w:rsidP="00844F4A">
      <w:pPr>
        <w:pStyle w:val="Heading3"/>
        <w:tabs>
          <w:tab w:val="clear" w:pos="2160"/>
        </w:tabs>
        <w:ind w:left="1980" w:hanging="810"/>
      </w:pPr>
      <w:r w:rsidRPr="0006069D">
        <w:t xml:space="preserve">LASD will </w:t>
      </w:r>
      <w:r w:rsidR="00932A0C" w:rsidRPr="0006069D">
        <w:t>create</w:t>
      </w:r>
      <w:r w:rsidRPr="0006069D">
        <w:t xml:space="preserve"> a </w:t>
      </w:r>
      <w:r w:rsidR="000E315E" w:rsidRPr="0006069D">
        <w:t>s</w:t>
      </w:r>
      <w:r w:rsidRPr="0006069D">
        <w:t>tatement regarding Accessibility on the LASD</w:t>
      </w:r>
      <w:r w:rsidR="00A45B17">
        <w:t xml:space="preserve"> </w:t>
      </w:r>
      <w:r w:rsidR="00237E80" w:rsidRPr="0006069D">
        <w:t>website</w:t>
      </w:r>
      <w:r w:rsidR="000E315E" w:rsidRPr="0006069D">
        <w:t xml:space="preserve"> (“Statement”)</w:t>
      </w:r>
      <w:r w:rsidR="00237E80" w:rsidRPr="0006069D">
        <w:t xml:space="preserve"> </w:t>
      </w:r>
      <w:r w:rsidRPr="0006069D">
        <w:t>which will</w:t>
      </w:r>
      <w:r w:rsidR="00237E80" w:rsidRPr="0006069D">
        <w:t xml:space="preserve"> include (</w:t>
      </w:r>
      <w:proofErr w:type="spellStart"/>
      <w:r w:rsidR="00237E80" w:rsidRPr="0006069D">
        <w:t>i</w:t>
      </w:r>
      <w:proofErr w:type="spellEnd"/>
      <w:r w:rsidR="00237E80" w:rsidRPr="0006069D">
        <w:t xml:space="preserve">) a statement of the Access Standard and </w:t>
      </w:r>
      <w:r w:rsidRPr="0006069D">
        <w:t xml:space="preserve">LASD’s </w:t>
      </w:r>
      <w:r w:rsidR="00237E80" w:rsidRPr="0006069D">
        <w:t xml:space="preserve">commitment to use it; (ii) a statement of </w:t>
      </w:r>
      <w:r w:rsidRPr="0006069D">
        <w:t xml:space="preserve">LASD’s </w:t>
      </w:r>
      <w:r w:rsidR="00237E80" w:rsidRPr="0006069D">
        <w:t>commitment to integrate accessibility into LASD Webpages;</w:t>
      </w:r>
      <w:r w:rsidR="0001320F">
        <w:t xml:space="preserve"> </w:t>
      </w:r>
      <w:r w:rsidR="00237E80" w:rsidRPr="0006069D">
        <w:t xml:space="preserve">(iii) a designated person(s) </w:t>
      </w:r>
      <w:r w:rsidR="00C0629A">
        <w:t xml:space="preserve">or position title of a person </w:t>
      </w:r>
      <w:r w:rsidR="00237E80" w:rsidRPr="0006069D">
        <w:t>responsible for policy implementation of this Settlement Agreement</w:t>
      </w:r>
      <w:r w:rsidR="00237E80" w:rsidRPr="007654C7">
        <w:t>.</w:t>
      </w:r>
    </w:p>
    <w:p w:rsidR="00915257" w:rsidRPr="00A100AF" w:rsidRDefault="00915257" w:rsidP="00A100AF">
      <w:pPr>
        <w:pStyle w:val="ListParagraph"/>
      </w:pPr>
    </w:p>
    <w:p w:rsidR="00CC344C" w:rsidRPr="003715EA" w:rsidRDefault="00CC344C" w:rsidP="0043387E">
      <w:pPr>
        <w:pStyle w:val="Heading2"/>
        <w:rPr>
          <w:b/>
        </w:rPr>
      </w:pPr>
      <w:r w:rsidRPr="003715EA">
        <w:rPr>
          <w:b/>
        </w:rPr>
        <w:t>Designated Person</w:t>
      </w:r>
      <w:r w:rsidR="00E94F6B" w:rsidRPr="003715EA">
        <w:rPr>
          <w:b/>
        </w:rPr>
        <w:t xml:space="preserve"> for Implementation</w:t>
      </w:r>
    </w:p>
    <w:p w:rsidR="00CC344C" w:rsidRDefault="00F5377B" w:rsidP="00E94F6B">
      <w:pPr>
        <w:pStyle w:val="Heading2"/>
        <w:numPr>
          <w:ilvl w:val="0"/>
          <w:numId w:val="0"/>
        </w:numPr>
        <w:ind w:left="1440"/>
      </w:pPr>
      <w:r w:rsidRPr="003715EA">
        <w:t>LASD</w:t>
      </w:r>
      <w:r w:rsidR="00CC344C" w:rsidRPr="003715EA">
        <w:t xml:space="preserve"> </w:t>
      </w:r>
      <w:r w:rsidR="0042307F">
        <w:t>will</w:t>
      </w:r>
      <w:r w:rsidR="00CC344C" w:rsidRPr="003715EA">
        <w:t xml:space="preserve"> designate a person(s)</w:t>
      </w:r>
      <w:r w:rsidRPr="003715EA">
        <w:t xml:space="preserve"> or</w:t>
      </w:r>
      <w:r w:rsidR="00651088">
        <w:t xml:space="preserve"> title of</w:t>
      </w:r>
      <w:r w:rsidRPr="003715EA">
        <w:t xml:space="preserve"> </w:t>
      </w:r>
      <w:r w:rsidR="00804A3E" w:rsidRPr="008E33CE">
        <w:t xml:space="preserve">the </w:t>
      </w:r>
      <w:r w:rsidRPr="003715EA">
        <w:t>person</w:t>
      </w:r>
      <w:r w:rsidR="003D633A">
        <w:t>(s)</w:t>
      </w:r>
      <w:r w:rsidR="00CC344C" w:rsidRPr="003715EA">
        <w:t xml:space="preserve"> responsible for policy implementation and implementation of this Settlement Agreement within thirty (30) days of the Effective Date.</w:t>
      </w:r>
      <w:r w:rsidR="00517504">
        <w:t xml:space="preserve"> </w:t>
      </w:r>
      <w:r w:rsidR="003D633A">
        <w:t xml:space="preserve">LASD will train the designated person(s) </w:t>
      </w:r>
      <w:r w:rsidR="00FB484D">
        <w:t>regarding the</w:t>
      </w:r>
      <w:r w:rsidR="006C074B">
        <w:t xml:space="preserve"> requirements of the</w:t>
      </w:r>
      <w:r w:rsidR="00FB484D">
        <w:t xml:space="preserve"> Agreement</w:t>
      </w:r>
      <w:r w:rsidR="00F746E3">
        <w:t xml:space="preserve"> </w:t>
      </w:r>
      <w:r w:rsidR="00651088">
        <w:t xml:space="preserve">and ADA requirements regarding effective communication and reasonable accommodations </w:t>
      </w:r>
      <w:r w:rsidR="008E33CE">
        <w:t>within thirty (30) days of designation.</w:t>
      </w:r>
    </w:p>
    <w:p w:rsidR="00CC344C" w:rsidRPr="00CC344C" w:rsidRDefault="00CC344C" w:rsidP="00CC344C"/>
    <w:p w:rsidR="0043387E" w:rsidRDefault="004872A3" w:rsidP="00F64BE2">
      <w:pPr>
        <w:pStyle w:val="Heading2"/>
      </w:pPr>
      <w:r w:rsidRPr="004872A3">
        <w:rPr>
          <w:b/>
        </w:rPr>
        <w:t>Removal of LASD “Text-Only” Site</w:t>
      </w:r>
      <w:r w:rsidR="00BD4C61" w:rsidRPr="00852200">
        <w:t xml:space="preserve"> </w:t>
      </w:r>
      <w:r w:rsidR="00AA1588">
        <w:br/>
      </w:r>
      <w:r w:rsidR="00B054CE" w:rsidRPr="007D2198">
        <w:t>As of the</w:t>
      </w:r>
      <w:r w:rsidR="007D1D6F">
        <w:t xml:space="preserve"> Compliance Date</w:t>
      </w:r>
      <w:r w:rsidR="00B054CE" w:rsidRPr="007D2198">
        <w:t xml:space="preserve">, </w:t>
      </w:r>
      <w:r w:rsidR="007067CD" w:rsidRPr="00852200">
        <w:t xml:space="preserve">County </w:t>
      </w:r>
      <w:r w:rsidR="00BE53A6">
        <w:t>must</w:t>
      </w:r>
      <w:r w:rsidR="008B3E84" w:rsidRPr="007D2198">
        <w:t xml:space="preserve"> remove from the </w:t>
      </w:r>
      <w:r w:rsidR="008B3E84" w:rsidRPr="007D2198">
        <w:lastRenderedPageBreak/>
        <w:t>Internet the separate</w:t>
      </w:r>
      <w:r w:rsidR="00B054CE" w:rsidRPr="007D2198">
        <w:t xml:space="preserve"> “Text-Only”</w:t>
      </w:r>
      <w:r w:rsidR="008B3E84" w:rsidRPr="007D2198">
        <w:t xml:space="preserve"> site available </w:t>
      </w:r>
      <w:bookmarkStart w:id="0" w:name="OLE_LINK19"/>
      <w:bookmarkStart w:id="1" w:name="OLE_LINK20"/>
      <w:r w:rsidR="000009BB" w:rsidRPr="007D2198">
        <w:t xml:space="preserve">through a link on </w:t>
      </w:r>
      <w:hyperlink r:id="rId10" w:history="1">
        <w:r w:rsidR="0043387E" w:rsidRPr="00990896">
          <w:rPr>
            <w:rStyle w:val="Hyperlink"/>
          </w:rPr>
          <w:t>http://sheriff.lacounty.gov/wps/portal/lasd</w:t>
        </w:r>
      </w:hyperlink>
      <w:bookmarkEnd w:id="0"/>
      <w:bookmarkEnd w:id="1"/>
      <w:r w:rsidR="0043387E">
        <w:t>.</w:t>
      </w:r>
    </w:p>
    <w:p w:rsidR="00EF3DA1" w:rsidRDefault="00EF3DA1"/>
    <w:p w:rsidR="00A76CE6" w:rsidRPr="00CA20C1" w:rsidRDefault="004872A3" w:rsidP="00AA1588">
      <w:pPr>
        <w:pStyle w:val="Heading1"/>
        <w:rPr>
          <w:b/>
        </w:rPr>
      </w:pPr>
      <w:r w:rsidRPr="004872A3">
        <w:rPr>
          <w:b/>
        </w:rPr>
        <w:t>Accessibility Consultant and Usability Testing</w:t>
      </w:r>
    </w:p>
    <w:p w:rsidR="005A5FA7" w:rsidRPr="00A100AF" w:rsidRDefault="005A5FA7" w:rsidP="00A100AF">
      <w:pPr>
        <w:pStyle w:val="ListParagraph"/>
      </w:pPr>
    </w:p>
    <w:p w:rsidR="00CA20C1" w:rsidRPr="00CA20C1" w:rsidRDefault="008B3E84" w:rsidP="00AA1588">
      <w:pPr>
        <w:pStyle w:val="Heading2"/>
        <w:numPr>
          <w:ilvl w:val="0"/>
          <w:numId w:val="31"/>
        </w:numPr>
      </w:pPr>
      <w:r w:rsidRPr="00AA1588">
        <w:rPr>
          <w:b/>
          <w:bCs/>
        </w:rPr>
        <w:t>Accessibility Consultant</w:t>
      </w:r>
    </w:p>
    <w:p w:rsidR="00EF3DA1" w:rsidRDefault="00EF3DA1">
      <w:pPr>
        <w:pStyle w:val="Heading2"/>
        <w:numPr>
          <w:ilvl w:val="0"/>
          <w:numId w:val="0"/>
        </w:numPr>
        <w:ind w:left="720"/>
        <w:rPr>
          <w:b/>
          <w:bCs/>
        </w:rPr>
      </w:pPr>
    </w:p>
    <w:p w:rsidR="00EF3DA1" w:rsidRDefault="001209CB">
      <w:pPr>
        <w:pStyle w:val="Heading2"/>
        <w:numPr>
          <w:ilvl w:val="0"/>
          <w:numId w:val="0"/>
        </w:numPr>
        <w:ind w:left="720"/>
      </w:pPr>
      <w:r w:rsidRPr="003715EA">
        <w:t xml:space="preserve">Within thirty (30) days of the Effective Date, the </w:t>
      </w:r>
      <w:r w:rsidR="005E5F8F" w:rsidRPr="003715EA">
        <w:t>County</w:t>
      </w:r>
      <w:r w:rsidR="008B3E84" w:rsidRPr="003715EA">
        <w:t xml:space="preserve"> </w:t>
      </w:r>
      <w:r w:rsidR="0042307F">
        <w:t>will</w:t>
      </w:r>
      <w:r w:rsidR="008B3E84" w:rsidRPr="003715EA">
        <w:t xml:space="preserve"> retain </w:t>
      </w:r>
      <w:r w:rsidR="005C2041">
        <w:t>Ron Hicks of Know</w:t>
      </w:r>
      <w:r w:rsidR="000960BC">
        <w:t>bility.org</w:t>
      </w:r>
      <w:r w:rsidR="00D31574" w:rsidRPr="003715EA">
        <w:t xml:space="preserve"> </w:t>
      </w:r>
      <w:r w:rsidR="00B55487">
        <w:t xml:space="preserve">(or outside consultant </w:t>
      </w:r>
      <w:r w:rsidR="006C074B">
        <w:t>mutually agreeable to the Parties</w:t>
      </w:r>
      <w:r w:rsidR="00B55487">
        <w:t xml:space="preserve">) </w:t>
      </w:r>
      <w:r w:rsidR="005E5F8F" w:rsidRPr="003715EA">
        <w:t xml:space="preserve">to assist </w:t>
      </w:r>
      <w:r w:rsidR="008B3E84" w:rsidRPr="003715EA">
        <w:t xml:space="preserve">the developers </w:t>
      </w:r>
      <w:r w:rsidR="00C8225F" w:rsidRPr="003715EA">
        <w:t xml:space="preserve">of the </w:t>
      </w:r>
      <w:r w:rsidR="005E5F8F" w:rsidRPr="003715EA">
        <w:t>LASD</w:t>
      </w:r>
      <w:r w:rsidR="008B3E84" w:rsidRPr="003715EA">
        <w:t xml:space="preserve"> Webpages in substantially complying with the Access Standard as required by this Settlement Agreement.</w:t>
      </w:r>
      <w:r w:rsidR="004E3B89" w:rsidRPr="003715EA">
        <w:t xml:space="preserve"> </w:t>
      </w:r>
    </w:p>
    <w:p w:rsidR="000015E2" w:rsidRDefault="000015E2" w:rsidP="006D02FF"/>
    <w:p w:rsidR="00A76CE6" w:rsidRPr="00DE04A6" w:rsidRDefault="00A76CE6" w:rsidP="00A100AF">
      <w:pPr>
        <w:pStyle w:val="ListParagraph"/>
      </w:pPr>
    </w:p>
    <w:p w:rsidR="00C22880" w:rsidRPr="00DE04A6" w:rsidRDefault="004872A3" w:rsidP="00AA1588">
      <w:pPr>
        <w:pStyle w:val="Heading2"/>
        <w:rPr>
          <w:b/>
        </w:rPr>
      </w:pPr>
      <w:r w:rsidRPr="00DE04A6">
        <w:rPr>
          <w:b/>
        </w:rPr>
        <w:t>Usability Testing</w:t>
      </w:r>
    </w:p>
    <w:p w:rsidR="00C22880" w:rsidRPr="00DE04A6" w:rsidRDefault="00C22880" w:rsidP="00A100AF">
      <w:pPr>
        <w:pStyle w:val="ListParagraph"/>
      </w:pPr>
    </w:p>
    <w:p w:rsidR="00C22880" w:rsidRPr="00DE04A6" w:rsidRDefault="00C22880" w:rsidP="00F64BE2">
      <w:pPr>
        <w:pStyle w:val="Heading3"/>
        <w:tabs>
          <w:tab w:val="clear" w:pos="2160"/>
          <w:tab w:val="num" w:pos="2070"/>
        </w:tabs>
        <w:ind w:left="2070" w:hanging="630"/>
        <w:rPr>
          <w:b/>
          <w:bCs/>
        </w:rPr>
      </w:pPr>
      <w:r w:rsidRPr="00DE04A6">
        <w:rPr>
          <w:u w:val="single"/>
        </w:rPr>
        <w:t>Usability Testing On or Before the Compliance Date</w:t>
      </w:r>
      <w:r w:rsidRPr="00DE04A6">
        <w:t xml:space="preserve">. </w:t>
      </w:r>
      <w:r w:rsidR="00232EF3" w:rsidRPr="00DE04A6">
        <w:br/>
      </w:r>
      <w:r w:rsidRPr="00DE04A6">
        <w:t>At least once on or before the Compliance Date set forth in Section 5</w:t>
      </w:r>
      <w:r w:rsidR="00ED6AD1" w:rsidRPr="00DE04A6">
        <w:t>(</w:t>
      </w:r>
      <w:r w:rsidR="00CA20C1" w:rsidRPr="00DE04A6">
        <w:t>a</w:t>
      </w:r>
      <w:r w:rsidR="00ED6AD1" w:rsidRPr="00DE04A6">
        <w:t>)</w:t>
      </w:r>
      <w:r w:rsidR="00FB484D" w:rsidRPr="00DE04A6">
        <w:t>.</w:t>
      </w:r>
      <w:r w:rsidR="00ED6AD1" w:rsidRPr="00DE04A6">
        <w:t xml:space="preserve"> </w:t>
      </w:r>
      <w:r w:rsidRPr="00DE04A6">
        <w:t xml:space="preserve"> </w:t>
      </w:r>
      <w:r w:rsidR="00932A0C" w:rsidRPr="00DE04A6">
        <w:t xml:space="preserve">LASD’s Consultant will </w:t>
      </w:r>
      <w:r w:rsidR="003715EA" w:rsidRPr="00DE04A6">
        <w:t>arrange</w:t>
      </w:r>
      <w:r w:rsidR="007654C7" w:rsidRPr="00DE04A6">
        <w:t xml:space="preserve"> for</w:t>
      </w:r>
      <w:r w:rsidR="001157E7">
        <w:t xml:space="preserve"> </w:t>
      </w:r>
      <w:r w:rsidR="00932A0C" w:rsidRPr="00DE04A6">
        <w:t>usability testing</w:t>
      </w:r>
      <w:r w:rsidR="003715EA" w:rsidRPr="00DE04A6">
        <w:t xml:space="preserve"> consistent with industry standards</w:t>
      </w:r>
      <w:r w:rsidR="007654C7" w:rsidRPr="00DE04A6">
        <w:t xml:space="preserve"> with a cross-section of Persons with Visual Impairments, including Claimant</w:t>
      </w:r>
      <w:r w:rsidR="006F4D62" w:rsidRPr="00DE04A6">
        <w:t>, using different types of devices, assistive technology, browsers, and operating systems</w:t>
      </w:r>
      <w:r w:rsidR="00932A0C" w:rsidRPr="00DE04A6">
        <w:t xml:space="preserve"> to ensure that the website is compliant with the Access Standard.</w:t>
      </w:r>
      <w:r w:rsidR="00DA42E7" w:rsidRPr="00DE04A6">
        <w:t xml:space="preserve"> </w:t>
      </w:r>
      <w:r w:rsidR="00FB484D" w:rsidRPr="00DE04A6">
        <w:t>LASD</w:t>
      </w:r>
      <w:r w:rsidR="00DA42E7" w:rsidRPr="00DE04A6">
        <w:t xml:space="preserve"> in good faith, will consider feedback provided </w:t>
      </w:r>
      <w:r w:rsidR="00097D4A" w:rsidRPr="00DE04A6">
        <w:t xml:space="preserve">through the usability testing process </w:t>
      </w:r>
      <w:r w:rsidR="00DA42E7" w:rsidRPr="00DE04A6">
        <w:t>and work to resolve any issues that may arise.</w:t>
      </w:r>
      <w:r w:rsidR="00AC668D" w:rsidRPr="00DE04A6">
        <w:t xml:space="preserve"> LASD will provide Claimant’s Counsel </w:t>
      </w:r>
      <w:proofErr w:type="gramStart"/>
      <w:r w:rsidR="00AC668D" w:rsidRPr="00DE04A6">
        <w:t>copies</w:t>
      </w:r>
      <w:proofErr w:type="gramEnd"/>
      <w:r w:rsidR="00AC668D" w:rsidRPr="00DE04A6">
        <w:t xml:space="preserve"> of any usability testing reports or results, within 10 business days of the receipt of the reports or results.</w:t>
      </w:r>
    </w:p>
    <w:p w:rsidR="00C22880" w:rsidRPr="00DE04A6" w:rsidRDefault="00C22880" w:rsidP="00AA1588"/>
    <w:p w:rsidR="007B168E" w:rsidRPr="00DE04A6" w:rsidRDefault="00AE3D79" w:rsidP="00F64BE2">
      <w:pPr>
        <w:pStyle w:val="Heading3"/>
        <w:rPr>
          <w:b/>
          <w:bCs/>
        </w:rPr>
      </w:pPr>
      <w:r w:rsidRPr="00DE04A6">
        <w:rPr>
          <w:rFonts w:eastAsiaTheme="minorHAnsi"/>
          <w:spacing w:val="0"/>
          <w:u w:val="single"/>
        </w:rPr>
        <w:t xml:space="preserve">Claimant Feedback on LASD Webpages </w:t>
      </w:r>
      <w:r w:rsidR="001157E7">
        <w:rPr>
          <w:rFonts w:eastAsiaTheme="minorHAnsi"/>
          <w:spacing w:val="0"/>
          <w:u w:val="single"/>
        </w:rPr>
        <w:t>A</w:t>
      </w:r>
      <w:r w:rsidR="001157E7" w:rsidRPr="00DE04A6">
        <w:rPr>
          <w:rFonts w:eastAsiaTheme="minorHAnsi"/>
          <w:spacing w:val="0"/>
          <w:u w:val="single"/>
        </w:rPr>
        <w:t>fter</w:t>
      </w:r>
      <w:r w:rsidRPr="00DE04A6">
        <w:rPr>
          <w:rFonts w:eastAsiaTheme="minorHAnsi"/>
          <w:spacing w:val="0"/>
          <w:u w:val="single"/>
        </w:rPr>
        <w:t xml:space="preserve"> Compliance Date</w:t>
      </w:r>
      <w:r w:rsidR="008B3E84" w:rsidRPr="00DE04A6">
        <w:t>. Throughout the term of th</w:t>
      </w:r>
      <w:r w:rsidR="005E5F8F" w:rsidRPr="00DE04A6">
        <w:t xml:space="preserve">is Settlement Agreement, </w:t>
      </w:r>
      <w:r w:rsidR="00932A0C" w:rsidRPr="00DE04A6">
        <w:t xml:space="preserve">the Claimant will be able to provide her feedback to LASD regarding the accessibility and usability of the LASD Webpages.  </w:t>
      </w:r>
      <w:r w:rsidR="004370D9" w:rsidRPr="00DE04A6">
        <w:t xml:space="preserve">LASD will, </w:t>
      </w:r>
      <w:r w:rsidR="007B168E" w:rsidRPr="00DE04A6">
        <w:t>in good faith,</w:t>
      </w:r>
      <w:r w:rsidR="00932A0C" w:rsidRPr="00DE04A6">
        <w:t xml:space="preserve"> </w:t>
      </w:r>
      <w:r w:rsidR="004370D9" w:rsidRPr="00DE04A6">
        <w:t>consider</w:t>
      </w:r>
      <w:r w:rsidR="00651088">
        <w:t xml:space="preserve"> </w:t>
      </w:r>
      <w:r w:rsidR="005E5F8F" w:rsidRPr="00DE04A6">
        <w:t xml:space="preserve">feedback from </w:t>
      </w:r>
      <w:r w:rsidR="005E5F8F" w:rsidRPr="00DE04A6">
        <w:lastRenderedPageBreak/>
        <w:t>Claimant</w:t>
      </w:r>
      <w:r w:rsidR="008B3E84" w:rsidRPr="00DE04A6">
        <w:t xml:space="preserve"> regarding the accessibility and usability of the </w:t>
      </w:r>
      <w:r w:rsidR="005E5F8F" w:rsidRPr="00DE04A6">
        <w:t>LASD Webpages</w:t>
      </w:r>
      <w:r w:rsidR="00592071">
        <w:t>.</w:t>
      </w:r>
    </w:p>
    <w:p w:rsidR="008B3E84" w:rsidRPr="00DE04A6" w:rsidRDefault="008B3E84" w:rsidP="00F64BE2">
      <w:pPr>
        <w:pStyle w:val="Heading3"/>
        <w:numPr>
          <w:ilvl w:val="0"/>
          <w:numId w:val="0"/>
        </w:numPr>
        <w:tabs>
          <w:tab w:val="num" w:pos="2160"/>
        </w:tabs>
        <w:ind w:left="2160"/>
      </w:pPr>
    </w:p>
    <w:p w:rsidR="005C2041" w:rsidRDefault="00FB484D" w:rsidP="00F64BE2">
      <w:pPr>
        <w:pStyle w:val="Heading3"/>
        <w:numPr>
          <w:ilvl w:val="0"/>
          <w:numId w:val="0"/>
        </w:numPr>
        <w:tabs>
          <w:tab w:val="num" w:pos="2160"/>
        </w:tabs>
        <w:ind w:left="2160"/>
      </w:pPr>
      <w:r w:rsidRPr="00DE04A6">
        <w:t xml:space="preserve">LASD </w:t>
      </w:r>
      <w:r w:rsidR="00932A0C" w:rsidRPr="00DE04A6">
        <w:t>will</w:t>
      </w:r>
      <w:r w:rsidR="00DC6E93" w:rsidRPr="00DE04A6">
        <w:t>, in good faith,</w:t>
      </w:r>
      <w:r w:rsidR="008B3E84" w:rsidRPr="00DE04A6">
        <w:t xml:space="preserve"> </w:t>
      </w:r>
      <w:r w:rsidR="00932A0C" w:rsidRPr="00DE04A6">
        <w:t>consider the</w:t>
      </w:r>
      <w:r w:rsidR="008B3E84" w:rsidRPr="00DE04A6">
        <w:t xml:space="preserve"> usability testing results and other feedback (collectively “feedback”</w:t>
      </w:r>
      <w:r w:rsidR="0056279B" w:rsidRPr="00DE04A6">
        <w:t xml:space="preserve">) provided pursuant to Section </w:t>
      </w:r>
      <w:r w:rsidR="00C22880" w:rsidRPr="00DE04A6">
        <w:t>6</w:t>
      </w:r>
      <w:r w:rsidR="00BE53A6" w:rsidRPr="00DE04A6">
        <w:t>(</w:t>
      </w:r>
      <w:r w:rsidR="00C22880" w:rsidRPr="00DE04A6">
        <w:t>b</w:t>
      </w:r>
      <w:r w:rsidR="00BE53A6" w:rsidRPr="00DE04A6">
        <w:t>)(</w:t>
      </w:r>
      <w:proofErr w:type="spellStart"/>
      <w:r w:rsidR="00C22880" w:rsidRPr="00DE04A6">
        <w:t>i</w:t>
      </w:r>
      <w:proofErr w:type="spellEnd"/>
      <w:r w:rsidR="00BE53A6" w:rsidRPr="00DE04A6">
        <w:t xml:space="preserve">) and </w:t>
      </w:r>
      <w:r w:rsidR="00C22880" w:rsidRPr="00DE04A6">
        <w:t>6</w:t>
      </w:r>
      <w:r w:rsidR="00BE53A6" w:rsidRPr="00DE04A6">
        <w:t>(</w:t>
      </w:r>
      <w:r w:rsidR="00C22880" w:rsidRPr="00DE04A6">
        <w:t>b</w:t>
      </w:r>
      <w:r w:rsidR="00BE53A6" w:rsidRPr="00DE04A6">
        <w:t>)(</w:t>
      </w:r>
      <w:r w:rsidR="00C22880" w:rsidRPr="00DE04A6">
        <w:t>ii</w:t>
      </w:r>
      <w:r w:rsidR="00BE53A6" w:rsidRPr="00DE04A6">
        <w:t>)</w:t>
      </w:r>
      <w:r w:rsidR="00C22880" w:rsidRPr="00DE04A6">
        <w:t xml:space="preserve"> </w:t>
      </w:r>
      <w:r w:rsidR="008B3E84" w:rsidRPr="00DE04A6">
        <w:t>that is consistent with the terms of this Settlement Agreemen</w:t>
      </w:r>
      <w:r w:rsidR="005E5F8F" w:rsidRPr="00DE04A6">
        <w:t>t</w:t>
      </w:r>
      <w:r w:rsidR="00E47976" w:rsidRPr="00DE04A6">
        <w:t xml:space="preserve"> </w:t>
      </w:r>
      <w:r w:rsidR="00DC6E93" w:rsidRPr="00DE04A6">
        <w:t>and incorporate feedback</w:t>
      </w:r>
      <w:r w:rsidR="00592071">
        <w:t>, and work to resolve any issues that may arise</w:t>
      </w:r>
      <w:r w:rsidR="00CF177C" w:rsidRPr="00DE04A6">
        <w:t xml:space="preserve"> as appropriate.</w:t>
      </w:r>
    </w:p>
    <w:p w:rsidR="005E5F8F" w:rsidRPr="007D2198" w:rsidRDefault="00CF177C" w:rsidP="00F64BE2">
      <w:pPr>
        <w:pStyle w:val="Heading3"/>
        <w:numPr>
          <w:ilvl w:val="0"/>
          <w:numId w:val="0"/>
        </w:numPr>
        <w:tabs>
          <w:tab w:val="num" w:pos="2160"/>
        </w:tabs>
        <w:ind w:left="2160"/>
      </w:pPr>
      <w:r w:rsidRPr="00DE04A6">
        <w:t xml:space="preserve"> </w:t>
      </w:r>
    </w:p>
    <w:p w:rsidR="008B3E84" w:rsidRPr="0043387E" w:rsidRDefault="004872A3" w:rsidP="00F64BE2">
      <w:pPr>
        <w:pStyle w:val="Heading1"/>
        <w:tabs>
          <w:tab w:val="left" w:pos="630"/>
        </w:tabs>
        <w:rPr>
          <w:b/>
        </w:rPr>
      </w:pPr>
      <w:r w:rsidRPr="004872A3">
        <w:rPr>
          <w:b/>
        </w:rPr>
        <w:t>Accessibility Information Page on the LASD Webpages</w:t>
      </w:r>
    </w:p>
    <w:p w:rsidR="007D2198" w:rsidRPr="007D2198" w:rsidRDefault="007D2198" w:rsidP="00A100AF">
      <w:pPr>
        <w:pStyle w:val="ListParagraph"/>
      </w:pPr>
    </w:p>
    <w:p w:rsidR="007D2198" w:rsidRPr="007654C7" w:rsidRDefault="008B3E84" w:rsidP="00F64BE2">
      <w:pPr>
        <w:pStyle w:val="Heading2"/>
        <w:numPr>
          <w:ilvl w:val="0"/>
          <w:numId w:val="32"/>
        </w:numPr>
        <w:tabs>
          <w:tab w:val="left" w:pos="1530"/>
        </w:tabs>
        <w:rPr>
          <w:rFonts w:asciiTheme="minorHAnsi" w:eastAsiaTheme="minorHAnsi" w:hAnsiTheme="minorHAnsi" w:cstheme="minorBidi"/>
          <w:spacing w:val="0"/>
          <w:sz w:val="22"/>
          <w:szCs w:val="22"/>
        </w:rPr>
      </w:pPr>
      <w:r w:rsidRPr="003715EA">
        <w:t xml:space="preserve">No later than </w:t>
      </w:r>
      <w:r w:rsidR="005C2041">
        <w:t xml:space="preserve">Compliance Date, </w:t>
      </w:r>
      <w:r w:rsidR="004370D9">
        <w:t xml:space="preserve">LASD </w:t>
      </w:r>
      <w:r w:rsidR="00E14234" w:rsidRPr="007654C7">
        <w:t>must</w:t>
      </w:r>
      <w:r w:rsidRPr="007654C7">
        <w:t xml:space="preserve"> post an Accessibility I</w:t>
      </w:r>
      <w:r w:rsidR="005E5F8F" w:rsidRPr="007654C7">
        <w:t>nformation Page on the LASD Webpages</w:t>
      </w:r>
      <w:r w:rsidRPr="007654C7">
        <w:t>. The Page</w:t>
      </w:r>
      <w:r w:rsidR="007D2198" w:rsidRPr="007654C7">
        <w:t xml:space="preserve"> </w:t>
      </w:r>
      <w:r w:rsidRPr="007654C7">
        <w:t>will include: (</w:t>
      </w:r>
      <w:proofErr w:type="spellStart"/>
      <w:r w:rsidRPr="007654C7">
        <w:t>i</w:t>
      </w:r>
      <w:proofErr w:type="spellEnd"/>
      <w:r w:rsidRPr="007654C7">
        <w:t xml:space="preserve">) a statement of </w:t>
      </w:r>
      <w:r w:rsidR="008A59C8" w:rsidRPr="007654C7">
        <w:t xml:space="preserve">LASD’s </w:t>
      </w:r>
      <w:r w:rsidRPr="007654C7">
        <w:t>commitment to the Access</w:t>
      </w:r>
      <w:r w:rsidR="005E5F8F" w:rsidRPr="007654C7">
        <w:t xml:space="preserve"> Standard for the LASD Webpages</w:t>
      </w:r>
      <w:r w:rsidRPr="007654C7">
        <w:t xml:space="preserve">; (ii) a summary of </w:t>
      </w:r>
      <w:r w:rsidR="008A59C8" w:rsidRPr="007654C7">
        <w:t>LASD</w:t>
      </w:r>
      <w:r w:rsidR="005E5F8F" w:rsidRPr="007654C7">
        <w:t xml:space="preserve">’s Webpages </w:t>
      </w:r>
      <w:r w:rsidRPr="007654C7">
        <w:t>Accessibility</w:t>
      </w:r>
      <w:r w:rsidR="00FB484D">
        <w:t xml:space="preserve"> Statement as set forth in Paragraph</w:t>
      </w:r>
      <w:r w:rsidRPr="007654C7">
        <w:t xml:space="preserve"> </w:t>
      </w:r>
      <w:r w:rsidR="00592071">
        <w:t>5.d.i.</w:t>
      </w:r>
      <w:r w:rsidRPr="007654C7">
        <w:t xml:space="preserve">; and (iii) a web-based (or e-mail) and telephone-based method for Persons with Visual Impairments to contact </w:t>
      </w:r>
      <w:r w:rsidR="007D2198" w:rsidRPr="007654C7">
        <w:t>LASD</w:t>
      </w:r>
      <w:r w:rsidRPr="007654C7">
        <w:t xml:space="preserve"> r</w:t>
      </w:r>
      <w:r w:rsidR="005918EB" w:rsidRPr="00CF177C">
        <w:t>egarding accessibility concerns.</w:t>
      </w:r>
    </w:p>
    <w:p w:rsidR="005E5F8F" w:rsidRPr="007D2198" w:rsidRDefault="005E5F8F" w:rsidP="00A100AF"/>
    <w:p w:rsidR="00AC68B0" w:rsidRDefault="00DC6E93" w:rsidP="00AC68B0">
      <w:pPr>
        <w:pStyle w:val="Heading1"/>
        <w:rPr>
          <w:b/>
        </w:rPr>
      </w:pPr>
      <w:r w:rsidRPr="003715EA">
        <w:rPr>
          <w:b/>
        </w:rPr>
        <w:t>Alternative Method for Jail Visits</w:t>
      </w:r>
      <w:r w:rsidR="00A24E55" w:rsidRPr="00FB5E48">
        <w:rPr>
          <w:b/>
        </w:rPr>
        <w:t xml:space="preserve"> </w:t>
      </w:r>
      <w:r w:rsidR="00EF7B00" w:rsidRPr="00FB5E48">
        <w:rPr>
          <w:b/>
        </w:rPr>
        <w:t>Prior to Compliance</w:t>
      </w:r>
    </w:p>
    <w:p w:rsidR="00AC668D" w:rsidRPr="00AC668D" w:rsidRDefault="00AC668D" w:rsidP="00AC668D"/>
    <w:p w:rsidR="00481168" w:rsidRPr="007654C7" w:rsidRDefault="00592071" w:rsidP="00651088">
      <w:pPr>
        <w:pStyle w:val="Heading3"/>
        <w:numPr>
          <w:ilvl w:val="0"/>
          <w:numId w:val="0"/>
        </w:numPr>
        <w:ind w:left="720"/>
      </w:pPr>
      <w:r>
        <w:t>Within 30 days of the Effective Date of this Agreement, and u</w:t>
      </w:r>
      <w:r w:rsidR="004370D9">
        <w:t>ntil LASD is in compliance with the requirements of Sections 5 through 9</w:t>
      </w:r>
      <w:r w:rsidR="00F14E9E" w:rsidRPr="007654C7">
        <w:t>,</w:t>
      </w:r>
      <w:r w:rsidR="006B6D33" w:rsidRPr="007654C7">
        <w:t xml:space="preserve"> </w:t>
      </w:r>
      <w:r w:rsidR="008A59C8" w:rsidRPr="007654C7">
        <w:t>LASD will provide</w:t>
      </w:r>
      <w:r w:rsidR="006B6D33" w:rsidRPr="00CF177C">
        <w:t xml:space="preserve"> </w:t>
      </w:r>
      <w:r w:rsidR="004A5FF4" w:rsidRPr="00CF177C">
        <w:t>Persons with Visual Impairment</w:t>
      </w:r>
      <w:r w:rsidR="00F14E9E" w:rsidRPr="00CF177C">
        <w:t>s</w:t>
      </w:r>
      <w:r w:rsidR="00DC6E93" w:rsidRPr="00CF177C">
        <w:t>, including Claimant, with a</w:t>
      </w:r>
      <w:r w:rsidR="00CF177C">
        <w:t xml:space="preserve"> timely and effective</w:t>
      </w:r>
      <w:r w:rsidR="00DC6E93" w:rsidRPr="00CF177C">
        <w:t xml:space="preserve"> alternative method</w:t>
      </w:r>
      <w:r w:rsidR="00DC6E93" w:rsidRPr="007654C7">
        <w:t xml:space="preserve"> for</w:t>
      </w:r>
      <w:r w:rsidR="004A5FF4" w:rsidRPr="007654C7">
        <w:t xml:space="preserve"> arranging visits to Jail residents, and </w:t>
      </w:r>
      <w:r w:rsidR="0042307F">
        <w:t>will</w:t>
      </w:r>
      <w:r w:rsidR="004A5FF4" w:rsidRPr="007654C7">
        <w:t xml:space="preserve"> post on its website within 30 days of the Effective Date information about how such visits can be arranged.</w:t>
      </w:r>
      <w:r w:rsidR="004370D9">
        <w:t xml:space="preserve"> If the LASD Webpages become inaccessible any time after compliance but during the Term of the Agreement, LASD will utilize the alternative method to arrange visits to Jail residents.</w:t>
      </w:r>
    </w:p>
    <w:p w:rsidR="000C23A9" w:rsidRDefault="000C23A9" w:rsidP="00A24E55"/>
    <w:p w:rsidR="000C23A9" w:rsidRDefault="000C23A9" w:rsidP="00A24E55"/>
    <w:p w:rsidR="000C23A9" w:rsidRDefault="000C23A9" w:rsidP="00A24E55"/>
    <w:p w:rsidR="000C23A9" w:rsidRDefault="000C23A9" w:rsidP="00A24E55"/>
    <w:p w:rsidR="00E176BD" w:rsidRPr="00CF177C" w:rsidRDefault="004872A3" w:rsidP="00F72CF4">
      <w:pPr>
        <w:pStyle w:val="Heading1"/>
      </w:pPr>
      <w:r w:rsidRPr="00CF177C">
        <w:rPr>
          <w:b/>
        </w:rPr>
        <w:lastRenderedPageBreak/>
        <w:t>Training and Instructional Material</w:t>
      </w:r>
    </w:p>
    <w:p w:rsidR="008B3E84" w:rsidRPr="00CF177C" w:rsidRDefault="008B3E84" w:rsidP="006D02FF">
      <w:pPr>
        <w:pStyle w:val="Heading1"/>
        <w:numPr>
          <w:ilvl w:val="0"/>
          <w:numId w:val="0"/>
        </w:numPr>
        <w:ind w:left="720"/>
      </w:pPr>
      <w:r w:rsidRPr="00CF177C">
        <w:t xml:space="preserve">To ensure effective implementation of this Settlement Agreement, </w:t>
      </w:r>
      <w:r w:rsidR="00424A15" w:rsidRPr="00CF177C">
        <w:t>LASD will</w:t>
      </w:r>
      <w:r w:rsidRPr="00CF177C">
        <w:t xml:space="preserve"> provide appropriate instructional material</w:t>
      </w:r>
      <w:r w:rsidR="00FF764B" w:rsidRPr="00CF177C">
        <w:t xml:space="preserve"> and training</w:t>
      </w:r>
      <w:r w:rsidRPr="00CF177C">
        <w:t xml:space="preserve"> to designated staff as set forth herein</w:t>
      </w:r>
      <w:r w:rsidR="001C3C54" w:rsidRPr="00CF177C">
        <w:t>, by the Compliance Date</w:t>
      </w:r>
      <w:r w:rsidRPr="00CF177C">
        <w:t>.</w:t>
      </w:r>
    </w:p>
    <w:p w:rsidR="00232EF3" w:rsidRPr="00FB5E48" w:rsidRDefault="00232EF3" w:rsidP="00232EF3"/>
    <w:p w:rsidR="00E176BD" w:rsidRPr="00FB5E48" w:rsidRDefault="004872A3" w:rsidP="00F64BE2">
      <w:pPr>
        <w:pStyle w:val="Heading2"/>
        <w:numPr>
          <w:ilvl w:val="0"/>
          <w:numId w:val="33"/>
        </w:numPr>
      </w:pPr>
      <w:r w:rsidRPr="00FB5E48">
        <w:rPr>
          <w:b/>
        </w:rPr>
        <w:t>Telephone and Public-Facing Staff</w:t>
      </w:r>
      <w:r w:rsidR="00232EF3" w:rsidRPr="00FB5E48">
        <w:br/>
      </w:r>
    </w:p>
    <w:p w:rsidR="005E5F8F" w:rsidRPr="007D2198" w:rsidRDefault="00424A15" w:rsidP="006D02FF">
      <w:pPr>
        <w:pStyle w:val="Heading2"/>
        <w:numPr>
          <w:ilvl w:val="0"/>
          <w:numId w:val="0"/>
        </w:numPr>
        <w:ind w:left="1440"/>
      </w:pPr>
      <w:r w:rsidRPr="00FB5E48">
        <w:t>LASD will</w:t>
      </w:r>
      <w:r w:rsidR="00BA023E" w:rsidRPr="00FB5E48">
        <w:t xml:space="preserve"> inform all LASD personnel who interact with the public in</w:t>
      </w:r>
      <w:r w:rsidR="00104B97" w:rsidRPr="00FB5E48">
        <w:t>-</w:t>
      </w:r>
      <w:r w:rsidR="00BA023E" w:rsidRPr="00FB5E48">
        <w:t xml:space="preserve">person or via telephone of these provisions. </w:t>
      </w:r>
      <w:r w:rsidRPr="00FB5E48">
        <w:t>LASD will</w:t>
      </w:r>
      <w:r w:rsidR="00BA023E" w:rsidRPr="00FB5E48">
        <w:t xml:space="preserve"> also provide appropriate information and instruction to all such staff regarding the terms of t</w:t>
      </w:r>
      <w:r w:rsidR="00E45B7A" w:rsidRPr="00FB5E48">
        <w:t xml:space="preserve">he Website Accessibility </w:t>
      </w:r>
      <w:r w:rsidRPr="00FB5E48">
        <w:t>Statement</w:t>
      </w:r>
      <w:r w:rsidR="008C2959" w:rsidRPr="00FB5E48">
        <w:t>.</w:t>
      </w:r>
      <w:r w:rsidR="00E45B7A" w:rsidRPr="00FB5E48">
        <w:t xml:space="preserve"> </w:t>
      </w:r>
      <w:r w:rsidR="008C2959" w:rsidRPr="00FB5E48">
        <w:t>B</w:t>
      </w:r>
      <w:r w:rsidR="00BA023E" w:rsidRPr="00FB5E48">
        <w:t xml:space="preserve">riefings, bulletins, and other written policies regarding Web Accessibility and ADA compliance </w:t>
      </w:r>
      <w:r w:rsidRPr="00FB5E48">
        <w:t>will</w:t>
      </w:r>
      <w:r w:rsidR="00BA023E" w:rsidRPr="00FB5E48">
        <w:t xml:space="preserve"> be provided to such LASD personnel</w:t>
      </w:r>
      <w:r w:rsidR="00DC6E93" w:rsidRPr="00FB5E48">
        <w:t xml:space="preserve"> </w:t>
      </w:r>
      <w:r w:rsidR="00804A3E" w:rsidRPr="00FB5E48">
        <w:t xml:space="preserve">as developed, and </w:t>
      </w:r>
      <w:r w:rsidR="00DC6E93" w:rsidRPr="00FB5E48">
        <w:t>on a recurrent basis</w:t>
      </w:r>
      <w:r w:rsidRPr="00FB5E48">
        <w:t xml:space="preserve"> as necessary</w:t>
      </w:r>
      <w:r w:rsidR="00BA023E" w:rsidRPr="00FB5E48">
        <w:t>.</w:t>
      </w:r>
    </w:p>
    <w:p w:rsidR="00BA023E" w:rsidRPr="007D2198" w:rsidRDefault="00BA023E" w:rsidP="00A100AF"/>
    <w:p w:rsidR="00E176BD" w:rsidRDefault="004872A3" w:rsidP="0072454E">
      <w:pPr>
        <w:pStyle w:val="Heading2"/>
      </w:pPr>
      <w:r w:rsidRPr="004872A3">
        <w:rPr>
          <w:b/>
        </w:rPr>
        <w:t>Web Development Staff</w:t>
      </w:r>
      <w:r w:rsidR="00232EF3">
        <w:br/>
      </w:r>
    </w:p>
    <w:p w:rsidR="005E5F8F" w:rsidRPr="007D2198" w:rsidRDefault="008E38D1" w:rsidP="006D02FF">
      <w:pPr>
        <w:pStyle w:val="Heading2"/>
        <w:numPr>
          <w:ilvl w:val="0"/>
          <w:numId w:val="0"/>
        </w:numPr>
        <w:ind w:left="1440"/>
      </w:pPr>
      <w:r>
        <w:t>County must</w:t>
      </w:r>
      <w:r w:rsidR="008B3E84" w:rsidRPr="007D2198">
        <w:t xml:space="preserve"> provide appropriate inform</w:t>
      </w:r>
      <w:r w:rsidR="00BA023E" w:rsidRPr="007D2198">
        <w:t>ation and instruction to all LASD personnel who are involved in web</w:t>
      </w:r>
      <w:r w:rsidR="008B3E84" w:rsidRPr="007D2198">
        <w:t xml:space="preserve"> content generation and any development staff responsible to enable them to ensure that the </w:t>
      </w:r>
      <w:r w:rsidR="00BA023E" w:rsidRPr="007D2198">
        <w:t>LASD</w:t>
      </w:r>
      <w:r w:rsidR="008B3E84" w:rsidRPr="00852200">
        <w:t xml:space="preserve"> Webpages meet the Access </w:t>
      </w:r>
      <w:r w:rsidR="008B3E84" w:rsidRPr="00FB5E48">
        <w:t xml:space="preserve">Standard as provided for in this Agreement. </w:t>
      </w:r>
      <w:r w:rsidRPr="00FB5E48">
        <w:t>County must</w:t>
      </w:r>
      <w:r w:rsidR="008B3E84" w:rsidRPr="00FB5E48">
        <w:t xml:space="preserve"> also provide appropriate information and instruction to all such staff regarding the terms of the Website Accessibility </w:t>
      </w:r>
      <w:r w:rsidR="00424A15" w:rsidRPr="00FB5E48">
        <w:t>Statement</w:t>
      </w:r>
      <w:r w:rsidR="00C97613">
        <w:t xml:space="preserve">. </w:t>
      </w:r>
      <w:r w:rsidR="008C2959" w:rsidRPr="007654C7">
        <w:t>B</w:t>
      </w:r>
      <w:r w:rsidR="00BA023E" w:rsidRPr="007654C7">
        <w:t xml:space="preserve">riefings, bulletins, and other written policies regarding Web Accessibility and ADA compliance </w:t>
      </w:r>
      <w:r w:rsidR="008C2959" w:rsidRPr="007654C7">
        <w:t xml:space="preserve">must </w:t>
      </w:r>
      <w:r w:rsidR="00BA023E" w:rsidRPr="007654C7">
        <w:t>also be provided to such LASD personnel</w:t>
      </w:r>
      <w:r w:rsidR="00804A3E" w:rsidRPr="007654C7">
        <w:t xml:space="preserve"> as developed and on</w:t>
      </w:r>
      <w:r w:rsidR="00804A3E">
        <w:t xml:space="preserve"> a recurrent basis as necessary</w:t>
      </w:r>
      <w:r w:rsidR="00BA023E" w:rsidRPr="007D2198">
        <w:t>.</w:t>
      </w:r>
    </w:p>
    <w:p w:rsidR="005E5F8F" w:rsidRPr="007D2198" w:rsidRDefault="005E5F8F" w:rsidP="00A100AF"/>
    <w:p w:rsidR="00E176BD" w:rsidRDefault="004872A3" w:rsidP="002C42FD">
      <w:pPr>
        <w:pStyle w:val="Heading2"/>
      </w:pPr>
      <w:r w:rsidRPr="004872A3">
        <w:rPr>
          <w:b/>
        </w:rPr>
        <w:t>Refresher Information</w:t>
      </w:r>
      <w:r w:rsidR="00232EF3">
        <w:br/>
      </w:r>
    </w:p>
    <w:p w:rsidR="00BA023E" w:rsidRDefault="008E38D1" w:rsidP="006D02FF">
      <w:pPr>
        <w:pStyle w:val="Heading2"/>
        <w:numPr>
          <w:ilvl w:val="0"/>
          <w:numId w:val="0"/>
        </w:numPr>
        <w:ind w:left="1440"/>
      </w:pPr>
      <w:r>
        <w:t>County must</w:t>
      </w:r>
      <w:r w:rsidR="008B3E84" w:rsidRPr="007D2198">
        <w:t xml:space="preserve"> provide refresher information as reasonably necessary and will provide appropriate information and instruction to new staff under Sections </w:t>
      </w:r>
      <w:r w:rsidR="0077616A">
        <w:t>9(a) and 9(b).</w:t>
      </w:r>
    </w:p>
    <w:p w:rsidR="006020FC" w:rsidRPr="00232EF3" w:rsidRDefault="006020FC" w:rsidP="00232EF3"/>
    <w:p w:rsidR="005E5F8F" w:rsidRPr="007D2198" w:rsidRDefault="005E5F8F" w:rsidP="00A100AF"/>
    <w:p w:rsidR="008B3E84" w:rsidRDefault="004872A3" w:rsidP="006802BC">
      <w:pPr>
        <w:pStyle w:val="Heading1"/>
      </w:pPr>
      <w:r w:rsidRPr="00FB5E48">
        <w:rPr>
          <w:b/>
        </w:rPr>
        <w:lastRenderedPageBreak/>
        <w:t xml:space="preserve">Joint </w:t>
      </w:r>
      <w:r w:rsidR="00424A15" w:rsidRPr="007654C7">
        <w:rPr>
          <w:b/>
        </w:rPr>
        <w:t>Statement</w:t>
      </w:r>
      <w:r w:rsidR="00232EF3" w:rsidRPr="007654C7">
        <w:br/>
      </w:r>
      <w:r w:rsidR="008B3E84" w:rsidRPr="007654C7">
        <w:t xml:space="preserve">The Parties will mutually agree on a </w:t>
      </w:r>
      <w:r w:rsidR="00DC6E93" w:rsidRPr="007654C7">
        <w:t xml:space="preserve">Joint Statement </w:t>
      </w:r>
      <w:r w:rsidR="008B3E84" w:rsidRPr="007654C7">
        <w:t xml:space="preserve">to be issued by </w:t>
      </w:r>
      <w:r w:rsidR="00F226A0">
        <w:t>Plaintiff</w:t>
      </w:r>
      <w:r w:rsidR="00F226A0" w:rsidRPr="007654C7">
        <w:t xml:space="preserve"> </w:t>
      </w:r>
      <w:r w:rsidR="008B3E84" w:rsidRPr="007654C7">
        <w:t xml:space="preserve">on or around the Effective Date. Any public statements by the Parties regarding the terms of this Settlement Agreement </w:t>
      </w:r>
      <w:r w:rsidR="0042307F">
        <w:t>will</w:t>
      </w:r>
      <w:r w:rsidR="008B3E84" w:rsidRPr="007654C7">
        <w:t xml:space="preserve"> be consistent with </w:t>
      </w:r>
      <w:r w:rsidR="00424A15" w:rsidRPr="007654C7">
        <w:t>agreed upon Joint Statement</w:t>
      </w:r>
      <w:r w:rsidR="00F226A0">
        <w:t>.</w:t>
      </w:r>
    </w:p>
    <w:p w:rsidR="006D5A62" w:rsidRDefault="006D5A62" w:rsidP="006D02FF"/>
    <w:p w:rsidR="00F31BCE" w:rsidRPr="00F31BCE" w:rsidRDefault="00FA1446" w:rsidP="006834D9">
      <w:pPr>
        <w:pStyle w:val="Heading1"/>
      </w:pPr>
      <w:r>
        <w:rPr>
          <w:b/>
        </w:rPr>
        <w:t>Information to Public</w:t>
      </w:r>
      <w:r w:rsidR="005377CB" w:rsidRPr="00672FF2" w:rsidDel="005377CB">
        <w:rPr>
          <w:b/>
        </w:rPr>
        <w:t xml:space="preserve"> </w:t>
      </w:r>
    </w:p>
    <w:p w:rsidR="00EF3DA1" w:rsidRPr="00CF177C" w:rsidRDefault="001F5F28" w:rsidP="0012202B">
      <w:pPr>
        <w:pStyle w:val="Heading1"/>
        <w:numPr>
          <w:ilvl w:val="0"/>
          <w:numId w:val="0"/>
        </w:numPr>
        <w:ind w:left="720"/>
        <w:rPr>
          <w:bCs/>
        </w:rPr>
      </w:pPr>
      <w:r w:rsidRPr="003018F6">
        <w:rPr>
          <w:bCs/>
        </w:rPr>
        <w:t xml:space="preserve">All </w:t>
      </w:r>
      <w:r w:rsidR="00BA131C" w:rsidRPr="003018F6">
        <w:rPr>
          <w:rFonts w:eastAsiaTheme="majorEastAsia"/>
        </w:rPr>
        <w:t>“Jails</w:t>
      </w:r>
      <w:r w:rsidR="00BA131C" w:rsidRPr="007654C7">
        <w:rPr>
          <w:rFonts w:eastAsiaTheme="majorEastAsia"/>
        </w:rPr>
        <w:t>” and “Jail Settings”</w:t>
      </w:r>
      <w:r w:rsidR="00096CDE">
        <w:rPr>
          <w:rFonts w:eastAsiaTheme="majorEastAsia"/>
        </w:rPr>
        <w:t xml:space="preserve"> </w:t>
      </w:r>
      <w:r w:rsidRPr="007654C7">
        <w:rPr>
          <w:bCs/>
        </w:rPr>
        <w:t>will maintain and provide</w:t>
      </w:r>
      <w:r w:rsidR="007D2198" w:rsidRPr="00CF177C">
        <w:rPr>
          <w:bCs/>
        </w:rPr>
        <w:t xml:space="preserve"> information</w:t>
      </w:r>
      <w:r w:rsidR="00E92407" w:rsidRPr="00CF177C">
        <w:rPr>
          <w:bCs/>
        </w:rPr>
        <w:t xml:space="preserve"> about</w:t>
      </w:r>
      <w:r w:rsidR="007D2198" w:rsidRPr="00CF177C">
        <w:t xml:space="preserve"> web-based (or e-mail) and telephone-based method for Persons with Visual Impairments to contact LASD regarding web accessibility concerns</w:t>
      </w:r>
      <w:r w:rsidR="00852200" w:rsidRPr="00CF177C">
        <w:t>.</w:t>
      </w:r>
      <w:r w:rsidRPr="00CF177C">
        <w:rPr>
          <w:bCs/>
        </w:rPr>
        <w:t xml:space="preserve"> </w:t>
      </w:r>
    </w:p>
    <w:p w:rsidR="001F5F28" w:rsidRPr="007E06F6" w:rsidRDefault="001F5F28" w:rsidP="00A100AF"/>
    <w:p w:rsidR="008B3E84" w:rsidRPr="007E06F6" w:rsidRDefault="00F06DC8" w:rsidP="00232EF3">
      <w:pPr>
        <w:pStyle w:val="Heading1"/>
        <w:rPr>
          <w:b/>
        </w:rPr>
      </w:pPr>
      <w:r w:rsidRPr="007E06F6">
        <w:rPr>
          <w:b/>
        </w:rPr>
        <w:t>Dispute Resolution</w:t>
      </w:r>
    </w:p>
    <w:p w:rsidR="00232EF3" w:rsidRPr="00232EF3" w:rsidRDefault="00232EF3" w:rsidP="00232EF3"/>
    <w:p w:rsidR="00F06DC8" w:rsidRDefault="004872A3" w:rsidP="002B00F4">
      <w:pPr>
        <w:pStyle w:val="Heading2"/>
        <w:numPr>
          <w:ilvl w:val="0"/>
          <w:numId w:val="35"/>
        </w:numPr>
        <w:tabs>
          <w:tab w:val="left" w:pos="1440"/>
        </w:tabs>
      </w:pPr>
      <w:r w:rsidRPr="004872A3">
        <w:rPr>
          <w:b/>
        </w:rPr>
        <w:t>Enforcement of LASD Webpages Accessibility, Provisions.</w:t>
      </w:r>
      <w:r w:rsidR="00232EF3">
        <w:br/>
      </w:r>
    </w:p>
    <w:p w:rsidR="00EF3DA1" w:rsidRDefault="008B3E84">
      <w:pPr>
        <w:pStyle w:val="Heading2"/>
        <w:numPr>
          <w:ilvl w:val="1"/>
          <w:numId w:val="35"/>
        </w:numPr>
      </w:pPr>
      <w:r w:rsidRPr="007D2198">
        <w:t>The pr</w:t>
      </w:r>
      <w:r w:rsidR="00552B60" w:rsidRPr="007D2198">
        <w:t xml:space="preserve">ocedures set forth in Sections </w:t>
      </w:r>
      <w:r w:rsidR="003D3306">
        <w:t>12</w:t>
      </w:r>
      <w:r w:rsidR="00F06DC8">
        <w:t>(</w:t>
      </w:r>
      <w:r w:rsidR="00852200">
        <w:t>a</w:t>
      </w:r>
      <w:r w:rsidR="00F06DC8">
        <w:t xml:space="preserve">) </w:t>
      </w:r>
      <w:r w:rsidRPr="007D2198">
        <w:t>must be exhausted in the event that Claimant</w:t>
      </w:r>
      <w:r w:rsidR="00F06DC8">
        <w:t xml:space="preserve"> </w:t>
      </w:r>
      <w:r w:rsidRPr="007D2198">
        <w:t>allege</w:t>
      </w:r>
      <w:r w:rsidR="00FE24F4" w:rsidRPr="007D2198">
        <w:t>s</w:t>
      </w:r>
      <w:r w:rsidRPr="007D2198">
        <w:t xml:space="preserve"> that </w:t>
      </w:r>
      <w:r w:rsidR="005E5F8F" w:rsidRPr="007D2198">
        <w:t>County</w:t>
      </w:r>
      <w:r w:rsidRPr="007D2198">
        <w:t xml:space="preserve"> has failed to meet its obligations pursuant to Section</w:t>
      </w:r>
      <w:r w:rsidR="008A5ACB">
        <w:t>s</w:t>
      </w:r>
      <w:r w:rsidRPr="007D2198">
        <w:t xml:space="preserve"> </w:t>
      </w:r>
      <w:r w:rsidR="00104B97">
        <w:t>5 through 9</w:t>
      </w:r>
      <w:r w:rsidR="00852200">
        <w:t xml:space="preserve"> </w:t>
      </w:r>
      <w:r w:rsidRPr="007D2198">
        <w:t>of this Agreement</w:t>
      </w:r>
      <w:r w:rsidR="00FE24F4" w:rsidRPr="007D2198">
        <w:t xml:space="preserve">. </w:t>
      </w:r>
    </w:p>
    <w:p w:rsidR="008B3E84" w:rsidRPr="007D2198" w:rsidRDefault="008B3E84" w:rsidP="00232EF3"/>
    <w:p w:rsidR="00EF3DA1" w:rsidRPr="003018F6" w:rsidRDefault="008B3E84">
      <w:pPr>
        <w:pStyle w:val="Heading2"/>
        <w:numPr>
          <w:ilvl w:val="1"/>
          <w:numId w:val="27"/>
        </w:numPr>
      </w:pPr>
      <w:r w:rsidRPr="00A100AF">
        <w:t>Claimant</w:t>
      </w:r>
      <w:r w:rsidRPr="00852200">
        <w:t xml:space="preserve"> will notify </w:t>
      </w:r>
      <w:r w:rsidR="005E5F8F" w:rsidRPr="00852200">
        <w:t>County</w:t>
      </w:r>
      <w:r w:rsidR="00C0629A">
        <w:t xml:space="preserve">, through its counsel of record Collins </w:t>
      </w:r>
      <w:proofErr w:type="spellStart"/>
      <w:r w:rsidR="00C0629A">
        <w:t>Collins</w:t>
      </w:r>
      <w:proofErr w:type="spellEnd"/>
      <w:r w:rsidR="00C0629A">
        <w:t xml:space="preserve"> Muir + Stewart, LLP,</w:t>
      </w:r>
      <w:r w:rsidRPr="00852200">
        <w:t xml:space="preserve"> in writing if </w:t>
      </w:r>
      <w:r w:rsidR="00FE24F4" w:rsidRPr="00852200">
        <w:t xml:space="preserve">she </w:t>
      </w:r>
      <w:r w:rsidRPr="00852200">
        <w:t>believe</w:t>
      </w:r>
      <w:r w:rsidR="00FE24F4" w:rsidRPr="00852200">
        <w:t>s</w:t>
      </w:r>
      <w:r w:rsidRPr="00852200">
        <w:t xml:space="preserve"> there is a page or a posted document on </w:t>
      </w:r>
      <w:r w:rsidR="005E5F8F" w:rsidRPr="00852200">
        <w:t>County</w:t>
      </w:r>
      <w:r w:rsidR="00552B60" w:rsidRPr="00852200">
        <w:t>’s LASD Webpages</w:t>
      </w:r>
      <w:r w:rsidRPr="00852200">
        <w:t xml:space="preserve"> that do</w:t>
      </w:r>
      <w:r w:rsidR="00104B97">
        <w:t>es not meet the Access Standard, or</w:t>
      </w:r>
      <w:r w:rsidR="00913392">
        <w:t xml:space="preserve"> she </w:t>
      </w:r>
      <w:r w:rsidR="00104B97">
        <w:t xml:space="preserve">believes the County fails to otherwise </w:t>
      </w:r>
      <w:r w:rsidR="00104B97" w:rsidRPr="003018F6">
        <w:t>comply with its obligations in Section</w:t>
      </w:r>
      <w:r w:rsidR="006357BF">
        <w:t>s</w:t>
      </w:r>
      <w:r w:rsidR="00104B97" w:rsidRPr="003018F6">
        <w:t xml:space="preserve"> 5 through 9.</w:t>
      </w:r>
    </w:p>
    <w:p w:rsidR="00552B60" w:rsidRPr="007654C7" w:rsidRDefault="00552B60" w:rsidP="00232EF3"/>
    <w:p w:rsidR="00552B60" w:rsidRPr="007E06F6" w:rsidRDefault="008B3E84" w:rsidP="0012202B">
      <w:pPr>
        <w:pStyle w:val="Heading2"/>
        <w:numPr>
          <w:ilvl w:val="1"/>
          <w:numId w:val="27"/>
        </w:numPr>
      </w:pPr>
      <w:r w:rsidRPr="007654C7">
        <w:t xml:space="preserve">Within </w:t>
      </w:r>
      <w:r w:rsidR="00C0629A">
        <w:t xml:space="preserve">15 </w:t>
      </w:r>
      <w:r w:rsidR="00096CDE">
        <w:t xml:space="preserve">business days </w:t>
      </w:r>
      <w:r w:rsidRPr="007654C7">
        <w:t xml:space="preserve">of </w:t>
      </w:r>
      <w:r w:rsidR="00A451CA" w:rsidRPr="007654C7">
        <w:t>County</w:t>
      </w:r>
      <w:r w:rsidRPr="007654C7">
        <w:t xml:space="preserve"> receiving </w:t>
      </w:r>
      <w:r w:rsidR="00552B60" w:rsidRPr="007654C7">
        <w:t xml:space="preserve">notice as described in Section </w:t>
      </w:r>
      <w:r w:rsidR="003D3306">
        <w:t>12</w:t>
      </w:r>
      <w:r w:rsidR="00F06DC8" w:rsidRPr="00CF177C">
        <w:t>(a)(ii)</w:t>
      </w:r>
      <w:r w:rsidRPr="00CF177C">
        <w:t xml:space="preserve">, </w:t>
      </w:r>
      <w:r w:rsidR="008E38D1" w:rsidRPr="00CF177C">
        <w:t>County</w:t>
      </w:r>
      <w:r w:rsidR="00C0629A">
        <w:t xml:space="preserve"> and/or its counsel of record</w:t>
      </w:r>
      <w:r w:rsidR="008E38D1" w:rsidRPr="00CF177C">
        <w:t xml:space="preserve"> must</w:t>
      </w:r>
      <w:r w:rsidRPr="00CF177C">
        <w:t xml:space="preserve"> respond to the Notice</w:t>
      </w:r>
      <w:r w:rsidR="007E06F6">
        <w:t xml:space="preserve"> </w:t>
      </w:r>
      <w:r w:rsidR="00C0629A">
        <w:t>in writing (including via email) to acknowledge receipt of the Notice.</w:t>
      </w:r>
      <w:r w:rsidRPr="007E06F6">
        <w:t xml:space="preserve"> Within </w:t>
      </w:r>
      <w:r w:rsidR="00592071">
        <w:t xml:space="preserve">30 </w:t>
      </w:r>
      <w:r w:rsidR="00C0629A">
        <w:t xml:space="preserve">calendar </w:t>
      </w:r>
      <w:r w:rsidR="00096CDE">
        <w:t>days</w:t>
      </w:r>
      <w:r w:rsidRPr="007E06F6">
        <w:t xml:space="preserve"> of</w:t>
      </w:r>
      <w:r w:rsidR="00A451CA" w:rsidRPr="007E06F6">
        <w:t xml:space="preserve"> Claimant’s</w:t>
      </w:r>
      <w:r w:rsidRPr="007E06F6">
        <w:t xml:space="preserve"> receipt of </w:t>
      </w:r>
      <w:r w:rsidR="00C0629A" w:rsidRPr="007E06F6">
        <w:t>th</w:t>
      </w:r>
      <w:r w:rsidR="00C0629A">
        <w:t xml:space="preserve">is initial </w:t>
      </w:r>
      <w:r w:rsidRPr="007E06F6">
        <w:t>response</w:t>
      </w:r>
      <w:r w:rsidR="00C0629A">
        <w:t xml:space="preserve"> from County</w:t>
      </w:r>
      <w:r w:rsidRPr="007E06F6">
        <w:t xml:space="preserve">, the Parties will meet by telephone in an attempt to informally resolve the </w:t>
      </w:r>
      <w:r w:rsidRPr="007E06F6">
        <w:lastRenderedPageBreak/>
        <w:t>issue</w:t>
      </w:r>
      <w:r w:rsidR="00661B41" w:rsidRPr="007E06F6">
        <w:t>, which may include the involvement of the Accessibility Consultant</w:t>
      </w:r>
      <w:r w:rsidR="00BA131C" w:rsidRPr="0012202B">
        <w:t xml:space="preserve"> at any party’s request</w:t>
      </w:r>
      <w:r w:rsidRPr="003018F6">
        <w:t xml:space="preserve">. </w:t>
      </w:r>
    </w:p>
    <w:p w:rsidR="00A96D1F" w:rsidRPr="003018F6" w:rsidRDefault="00A96D1F" w:rsidP="00A96D1F"/>
    <w:p w:rsidR="00EF3DA1" w:rsidRPr="003018F6" w:rsidRDefault="008B3E84">
      <w:pPr>
        <w:pStyle w:val="Heading2"/>
        <w:numPr>
          <w:ilvl w:val="1"/>
          <w:numId w:val="27"/>
        </w:numPr>
      </w:pPr>
      <w:r w:rsidRPr="003018F6">
        <w:t>Should the Parties thereafter have a dispute regarding an issue raised in a notice given under Section</w:t>
      </w:r>
      <w:r w:rsidR="00852200" w:rsidRPr="003018F6">
        <w:t xml:space="preserve"> </w:t>
      </w:r>
      <w:r w:rsidR="006B6D33" w:rsidRPr="003018F6">
        <w:t>13</w:t>
      </w:r>
      <w:r w:rsidR="00C02533" w:rsidRPr="003018F6">
        <w:t>(a)</w:t>
      </w:r>
      <w:r w:rsidRPr="003018F6">
        <w:t xml:space="preserve">, the dispute </w:t>
      </w:r>
      <w:r w:rsidR="0042307F">
        <w:t>will</w:t>
      </w:r>
      <w:r w:rsidRPr="003018F6">
        <w:t xml:space="preserve"> be handled pursuant to the procedures set forth in Sections </w:t>
      </w:r>
      <w:r w:rsidR="003D3306">
        <w:t>12</w:t>
      </w:r>
      <w:r w:rsidR="00C02533" w:rsidRPr="003018F6">
        <w:t>(b)</w:t>
      </w:r>
      <w:r w:rsidRPr="003018F6">
        <w:t>, below.</w:t>
      </w:r>
    </w:p>
    <w:p w:rsidR="00552B60" w:rsidRPr="003018F6" w:rsidRDefault="00552B60" w:rsidP="00232EF3"/>
    <w:p w:rsidR="00C02533" w:rsidRPr="003018F6" w:rsidRDefault="004872A3" w:rsidP="002B00F4">
      <w:pPr>
        <w:pStyle w:val="Heading2"/>
      </w:pPr>
      <w:r w:rsidRPr="003018F6">
        <w:rPr>
          <w:b/>
        </w:rPr>
        <w:t>Notice of Non-Compliance</w:t>
      </w:r>
      <w:r w:rsidR="00232EF3" w:rsidRPr="003018F6">
        <w:br/>
      </w:r>
    </w:p>
    <w:p w:rsidR="00EF3DA1" w:rsidRPr="003018F6" w:rsidRDefault="008B3E84">
      <w:pPr>
        <w:pStyle w:val="Heading2"/>
        <w:numPr>
          <w:ilvl w:val="1"/>
          <w:numId w:val="27"/>
        </w:numPr>
      </w:pPr>
      <w:r w:rsidRPr="003018F6">
        <w:t xml:space="preserve">If a party believes that any other party has not complied with any provision of the Agreement (including Sections </w:t>
      </w:r>
      <w:r w:rsidR="00DA7F8B" w:rsidRPr="003018F6">
        <w:t>6 and 7</w:t>
      </w:r>
      <w:r w:rsidRPr="003018F6">
        <w:t>, after exhausting the p</w:t>
      </w:r>
      <w:r w:rsidR="00552B60" w:rsidRPr="003018F6">
        <w:t xml:space="preserve">rocedures set forth in Section </w:t>
      </w:r>
      <w:r w:rsidR="003D3306">
        <w:t>12</w:t>
      </w:r>
      <w:r w:rsidR="00C02533" w:rsidRPr="003018F6">
        <w:t>(a)</w:t>
      </w:r>
      <w:r w:rsidRPr="003018F6">
        <w:t xml:space="preserve">), that party </w:t>
      </w:r>
      <w:r w:rsidR="0042307F">
        <w:t>will</w:t>
      </w:r>
      <w:r w:rsidRPr="003018F6">
        <w:t xml:space="preserve"> provide the other party with Notice of Non-Compliance containing the following information: (</w:t>
      </w:r>
      <w:proofErr w:type="spellStart"/>
      <w:r w:rsidRPr="003018F6">
        <w:t>i</w:t>
      </w:r>
      <w:proofErr w:type="spellEnd"/>
      <w:r w:rsidRPr="003018F6">
        <w:t>) the alleged act of non-compliance; (ii) a reference to the specific provision(s) of the Settlement Agreement that are involved; (iii) a statement of the remedial action sought by the initiating party; and (iv) a brief statement of the specific facts, circumstances and legal argument supporting the position of the initiating party.</w:t>
      </w:r>
    </w:p>
    <w:p w:rsidR="00552B60" w:rsidRPr="003018F6" w:rsidRDefault="00552B60" w:rsidP="00232EF3"/>
    <w:p w:rsidR="00EF3DA1" w:rsidRPr="007E06F6" w:rsidRDefault="004872A3">
      <w:pPr>
        <w:pStyle w:val="Heading2"/>
        <w:numPr>
          <w:ilvl w:val="1"/>
          <w:numId w:val="27"/>
        </w:numPr>
      </w:pPr>
      <w:r w:rsidRPr="003018F6">
        <w:rPr>
          <w:b/>
        </w:rPr>
        <w:t>Response</w:t>
      </w:r>
      <w:r w:rsidR="00232EF3" w:rsidRPr="003018F6">
        <w:br/>
      </w:r>
      <w:r w:rsidR="008B3E84" w:rsidRPr="003018F6">
        <w:t xml:space="preserve">Within </w:t>
      </w:r>
      <w:r w:rsidR="00C0629A">
        <w:t xml:space="preserve">15 </w:t>
      </w:r>
      <w:r w:rsidR="007E06F6">
        <w:t>business</w:t>
      </w:r>
      <w:r w:rsidR="008B3E84" w:rsidRPr="007E06F6">
        <w:t xml:space="preserve"> days of receipt of a Notice provided pursuant to Section </w:t>
      </w:r>
      <w:r w:rsidR="003D3306">
        <w:t>12</w:t>
      </w:r>
      <w:r w:rsidR="00FF764B" w:rsidRPr="007E06F6">
        <w:t>(</w:t>
      </w:r>
      <w:r w:rsidR="00355F68" w:rsidRPr="007E06F6">
        <w:t>b</w:t>
      </w:r>
      <w:r w:rsidR="00FF764B" w:rsidRPr="007E06F6">
        <w:t>)</w:t>
      </w:r>
      <w:r w:rsidR="008B3E84" w:rsidRPr="007E06F6">
        <w:t xml:space="preserve">, the non-initiating party </w:t>
      </w:r>
      <w:r w:rsidR="0042307F">
        <w:t>will</w:t>
      </w:r>
      <w:r w:rsidR="008B3E84" w:rsidRPr="007E06F6">
        <w:t xml:space="preserve"> respond to the initiating party in writing</w:t>
      </w:r>
      <w:r w:rsidR="00C0629A">
        <w:t xml:space="preserve"> (including via email) to acknowledge receipt of the Notice</w:t>
      </w:r>
      <w:r w:rsidR="008B3E84" w:rsidRPr="007E06F6">
        <w:t>.</w:t>
      </w:r>
    </w:p>
    <w:p w:rsidR="00552B60" w:rsidRPr="007E06F6" w:rsidRDefault="00552B60" w:rsidP="00232EF3"/>
    <w:p w:rsidR="00EF3DA1" w:rsidRPr="007E06F6" w:rsidRDefault="009464CE">
      <w:pPr>
        <w:pStyle w:val="Heading2"/>
        <w:numPr>
          <w:ilvl w:val="1"/>
          <w:numId w:val="27"/>
        </w:numPr>
      </w:pPr>
      <w:r>
        <w:rPr>
          <w:b/>
        </w:rPr>
        <w:t>Meet and Confer</w:t>
      </w:r>
      <w:r w:rsidR="00232EF3" w:rsidRPr="007E06F6">
        <w:br/>
      </w:r>
      <w:r w:rsidR="008B3E84" w:rsidRPr="007E06F6">
        <w:t xml:space="preserve">Within </w:t>
      </w:r>
      <w:r w:rsidR="00592071">
        <w:t>30</w:t>
      </w:r>
      <w:r w:rsidR="007E06F6">
        <w:t xml:space="preserve"> </w:t>
      </w:r>
      <w:r w:rsidR="00C0629A">
        <w:t>calendar</w:t>
      </w:r>
      <w:r w:rsidR="00C0629A" w:rsidRPr="007E06F6">
        <w:t xml:space="preserve"> </w:t>
      </w:r>
      <w:r w:rsidR="00570EDF" w:rsidRPr="007E06F6">
        <w:t>days</w:t>
      </w:r>
      <w:r w:rsidR="008B3E84" w:rsidRPr="007E06F6">
        <w:t xml:space="preserve"> after the</w:t>
      </w:r>
      <w:r w:rsidR="00C0629A">
        <w:t xml:space="preserve"> initial</w:t>
      </w:r>
      <w:r w:rsidR="008B3E84" w:rsidRPr="007E06F6">
        <w:t xml:space="preserve"> response described above</w:t>
      </w:r>
      <w:r w:rsidR="00C0629A">
        <w:t xml:space="preserve"> (Section 12(b</w:t>
      </w:r>
      <w:proofErr w:type="gramStart"/>
      <w:r w:rsidR="00C0629A">
        <w:t>)(</w:t>
      </w:r>
      <w:proofErr w:type="gramEnd"/>
      <w:r w:rsidR="00C0629A">
        <w:t>ii))</w:t>
      </w:r>
      <w:r w:rsidR="008B3E84" w:rsidRPr="007E06F6">
        <w:t xml:space="preserve">, the Parties </w:t>
      </w:r>
      <w:r w:rsidR="0042307F">
        <w:t>will</w:t>
      </w:r>
      <w:r w:rsidR="008B3E84" w:rsidRPr="007E06F6">
        <w:t xml:space="preserve"> informally meet and confer and attempt</w:t>
      </w:r>
      <w:r w:rsidR="008C3030" w:rsidRPr="007E06F6">
        <w:t xml:space="preserve"> in good faith</w:t>
      </w:r>
      <w:r w:rsidR="008B3E84" w:rsidRPr="007E06F6">
        <w:t xml:space="preserve"> to resolve the issues raised in the Notice.</w:t>
      </w:r>
      <w:r w:rsidR="008C3030" w:rsidRPr="007E06F6">
        <w:t xml:space="preserve"> </w:t>
      </w:r>
      <w:r w:rsidR="00570EDF" w:rsidRPr="007E06F6">
        <w:t xml:space="preserve"> During the Meet and Confer, the Parties can discuss whether Mediation would be worthwhile in resolving the dispute.</w:t>
      </w:r>
    </w:p>
    <w:p w:rsidR="00552B60" w:rsidRPr="000B1338" w:rsidRDefault="00552B60" w:rsidP="00232EF3"/>
    <w:p w:rsidR="00EF3DA1" w:rsidRPr="003018F6" w:rsidRDefault="008C3030">
      <w:pPr>
        <w:pStyle w:val="Heading2"/>
      </w:pPr>
      <w:r w:rsidRPr="003018F6">
        <w:lastRenderedPageBreak/>
        <w:t>Claimant agree</w:t>
      </w:r>
      <w:r w:rsidR="008C2959" w:rsidRPr="003018F6">
        <w:t>s</w:t>
      </w:r>
      <w:r w:rsidRPr="003018F6">
        <w:t xml:space="preserve"> not to file any litigation to enforce this Agreement until </w:t>
      </w:r>
      <w:r w:rsidR="00355F68" w:rsidRPr="003018F6">
        <w:t xml:space="preserve">the </w:t>
      </w:r>
      <w:r w:rsidRPr="003018F6">
        <w:t xml:space="preserve">dispute resolution process </w:t>
      </w:r>
      <w:r w:rsidR="00355F68" w:rsidRPr="003018F6">
        <w:t xml:space="preserve">in </w:t>
      </w:r>
      <w:r w:rsidR="003D3306">
        <w:t>12</w:t>
      </w:r>
      <w:r w:rsidR="00355F68" w:rsidRPr="003018F6">
        <w:t xml:space="preserve">(a) and </w:t>
      </w:r>
      <w:r w:rsidR="003D3306">
        <w:t>12</w:t>
      </w:r>
      <w:r w:rsidR="00355F68" w:rsidRPr="003018F6">
        <w:t xml:space="preserve">(b) </w:t>
      </w:r>
      <w:r w:rsidRPr="003018F6">
        <w:t>has been completed and then only if the alleged violations or noncompliance have not been corrected as a result of dispute resolution effort by the Parties</w:t>
      </w:r>
      <w:r w:rsidR="000015E2" w:rsidRPr="003018F6">
        <w:t>,</w:t>
      </w:r>
      <w:r w:rsidR="000857D2" w:rsidRPr="003018F6">
        <w:t xml:space="preserve"> </w:t>
      </w:r>
      <w:r w:rsidR="00D74957" w:rsidRPr="003018F6">
        <w:t>or if there have been</w:t>
      </w:r>
      <w:r w:rsidR="00D74957">
        <w:t xml:space="preserve"> repeated </w:t>
      </w:r>
      <w:r w:rsidR="00D74957" w:rsidRPr="003018F6">
        <w:t xml:space="preserve">occurrences of non-compliance </w:t>
      </w:r>
      <w:r w:rsidR="00D74957">
        <w:t>causing undue delay in LASD complying with this Agreement</w:t>
      </w:r>
      <w:r w:rsidR="00D74957" w:rsidRPr="003018F6">
        <w:t>.</w:t>
      </w:r>
    </w:p>
    <w:p w:rsidR="006A1E66" w:rsidRPr="003018F6" w:rsidRDefault="006A1E66" w:rsidP="00A100AF"/>
    <w:p w:rsidR="007A26F3" w:rsidRPr="004A2A83" w:rsidRDefault="007A26F3" w:rsidP="00232EF3">
      <w:pPr>
        <w:pStyle w:val="Heading1"/>
      </w:pPr>
      <w:r>
        <w:rPr>
          <w:b/>
        </w:rPr>
        <w:t xml:space="preserve">Claimant </w:t>
      </w:r>
      <w:r w:rsidR="004872A3" w:rsidRPr="007A26F3">
        <w:rPr>
          <w:b/>
        </w:rPr>
        <w:t>Damages</w:t>
      </w:r>
      <w:r w:rsidR="007E06F6">
        <w:rPr>
          <w:b/>
        </w:rPr>
        <w:t xml:space="preserve"> and </w:t>
      </w:r>
      <w:r>
        <w:rPr>
          <w:b/>
        </w:rPr>
        <w:t xml:space="preserve">Attorney’s </w:t>
      </w:r>
      <w:r w:rsidR="007E06F6">
        <w:rPr>
          <w:b/>
        </w:rPr>
        <w:t>Fees</w:t>
      </w:r>
    </w:p>
    <w:p w:rsidR="00E176BD" w:rsidRPr="007E06F6" w:rsidRDefault="007A26F3" w:rsidP="004A2A83">
      <w:pPr>
        <w:pStyle w:val="Heading1"/>
        <w:numPr>
          <w:ilvl w:val="0"/>
          <w:numId w:val="0"/>
        </w:numPr>
        <w:ind w:left="720"/>
      </w:pPr>
      <w:r>
        <w:t>Individual</w:t>
      </w:r>
      <w:r w:rsidR="00D44C6C">
        <w:t xml:space="preserve"> relief to Claimant and a</w:t>
      </w:r>
      <w:r>
        <w:t>ttorneys’ fees</w:t>
      </w:r>
      <w:r w:rsidR="00D44C6C">
        <w:t xml:space="preserve"> for Claimant’s counsel</w:t>
      </w:r>
      <w:r>
        <w:t xml:space="preserve"> are set forth in </w:t>
      </w:r>
      <w:r w:rsidR="00651088">
        <w:t>Exhibit A</w:t>
      </w:r>
      <w:r>
        <w:t>, incorporated herein.</w:t>
      </w:r>
      <w:r w:rsidR="00232EF3" w:rsidRPr="007E06F6">
        <w:br/>
      </w:r>
    </w:p>
    <w:p w:rsidR="00EF3DA1" w:rsidRPr="003018F6" w:rsidRDefault="004872A3">
      <w:pPr>
        <w:pStyle w:val="Heading1"/>
      </w:pPr>
      <w:r w:rsidRPr="003018F6">
        <w:rPr>
          <w:b/>
        </w:rPr>
        <w:t>Release</w:t>
      </w:r>
    </w:p>
    <w:p w:rsidR="00EF3DA1" w:rsidRPr="003018F6" w:rsidRDefault="00603925" w:rsidP="006802BC">
      <w:pPr>
        <w:pStyle w:val="Heading2"/>
        <w:numPr>
          <w:ilvl w:val="0"/>
          <w:numId w:val="0"/>
        </w:numPr>
        <w:ind w:left="720"/>
      </w:pPr>
      <w:r w:rsidRPr="003018F6">
        <w:t xml:space="preserve">Except as otherwise provided by this Agreement, and subject to the fulfillment of the conditions set forth in this Agreement, Claimant, for herself, </w:t>
      </w:r>
      <w:r w:rsidR="00CD4944" w:rsidRPr="003018F6">
        <w:t xml:space="preserve">her </w:t>
      </w:r>
      <w:r w:rsidRPr="003018F6">
        <w:t xml:space="preserve">successors and assigns, hereby release and discharge County and its successors, assigns, officers, directors, and past and present agents, attorneys, and employees (“Released Parties”), from any and all claims for </w:t>
      </w:r>
      <w:r w:rsidR="000960BC">
        <w:t xml:space="preserve">monetary damages, </w:t>
      </w:r>
      <w:r w:rsidRPr="003018F6">
        <w:t>declaratory and injunctive relief based on any of the allegations raised in the January 16, 2014 letter under the ADA, Section 504 of the Rehabilitation Act of 1973, California Government Code Section 11135, and the Unruh Civil Rights Act</w:t>
      </w:r>
      <w:r w:rsidR="00C95F3F" w:rsidRPr="003018F6">
        <w:t>, that arose prior to the Effective Date of this Agreement</w:t>
      </w:r>
      <w:r w:rsidRPr="003018F6">
        <w:t xml:space="preserve">. </w:t>
      </w:r>
    </w:p>
    <w:p w:rsidR="005A701B" w:rsidRPr="003018F6" w:rsidRDefault="005A701B" w:rsidP="005A701B"/>
    <w:p w:rsidR="00F414FD" w:rsidRPr="003018F6" w:rsidRDefault="004872A3" w:rsidP="008B14E8">
      <w:pPr>
        <w:pStyle w:val="Heading1"/>
      </w:pPr>
      <w:r w:rsidRPr="006802BC">
        <w:rPr>
          <w:b/>
        </w:rPr>
        <w:t>Notice or Communication to Parties</w:t>
      </w:r>
    </w:p>
    <w:p w:rsidR="00EF3DA1" w:rsidRPr="003018F6" w:rsidRDefault="008B3E84">
      <w:pPr>
        <w:ind w:left="720"/>
      </w:pPr>
      <w:r w:rsidRPr="003018F6">
        <w:t xml:space="preserve">Any notice or communication required or permitted to be given to the Parties hereunder </w:t>
      </w:r>
      <w:r w:rsidR="0042307F">
        <w:t>will</w:t>
      </w:r>
      <w:r w:rsidRPr="003018F6">
        <w:t xml:space="preserve"> be given in writing by e-mail and by overnight express mail or United States first class mail, addressed as follows:</w:t>
      </w:r>
    </w:p>
    <w:p w:rsidR="00232EF3" w:rsidRDefault="00232EF3" w:rsidP="00A100AF"/>
    <w:p w:rsidR="00EF3DA1" w:rsidRPr="003018F6" w:rsidRDefault="00DA7F8B">
      <w:pPr>
        <w:ind w:firstLine="720"/>
      </w:pPr>
      <w:r w:rsidRPr="003018F6">
        <w:t>T</w:t>
      </w:r>
      <w:r w:rsidR="002B00F4">
        <w:t xml:space="preserve">o </w:t>
      </w:r>
      <w:r w:rsidR="00552B60" w:rsidRPr="003018F6">
        <w:t>Claimant</w:t>
      </w:r>
      <w:r w:rsidR="008B3E84" w:rsidRPr="003018F6">
        <w:t>:</w:t>
      </w:r>
    </w:p>
    <w:p w:rsidR="00EF3DA1" w:rsidRPr="003018F6" w:rsidRDefault="005E5F8F">
      <w:pPr>
        <w:ind w:firstLine="720"/>
      </w:pPr>
      <w:r w:rsidRPr="003018F6">
        <w:t>Sri Panchalam</w:t>
      </w:r>
    </w:p>
    <w:p w:rsidR="00EF3DA1" w:rsidRPr="003018F6" w:rsidRDefault="005E5F8F">
      <w:pPr>
        <w:ind w:firstLine="720"/>
      </w:pPr>
      <w:r w:rsidRPr="003018F6">
        <w:t>Autumn Elliott</w:t>
      </w:r>
    </w:p>
    <w:p w:rsidR="00EF3DA1" w:rsidRPr="003018F6" w:rsidRDefault="005E5F8F">
      <w:pPr>
        <w:ind w:firstLine="720"/>
      </w:pPr>
      <w:r w:rsidRPr="003018F6">
        <w:t xml:space="preserve">Disability </w:t>
      </w:r>
      <w:r w:rsidR="009D6EA2" w:rsidRPr="003018F6">
        <w:t>R</w:t>
      </w:r>
      <w:r w:rsidRPr="003018F6">
        <w:t>ights California</w:t>
      </w:r>
    </w:p>
    <w:p w:rsidR="00EF3DA1" w:rsidRPr="003018F6" w:rsidRDefault="005E5F8F">
      <w:pPr>
        <w:ind w:firstLine="720"/>
      </w:pPr>
      <w:r w:rsidRPr="003018F6">
        <w:t xml:space="preserve">350 S. </w:t>
      </w:r>
      <w:proofErr w:type="spellStart"/>
      <w:r w:rsidRPr="003018F6">
        <w:t>Bixel</w:t>
      </w:r>
      <w:proofErr w:type="spellEnd"/>
      <w:r w:rsidRPr="003018F6">
        <w:t xml:space="preserve"> Street, Suite 290</w:t>
      </w:r>
    </w:p>
    <w:p w:rsidR="00EF3DA1" w:rsidRPr="003018F6" w:rsidRDefault="005E5F8F">
      <w:pPr>
        <w:ind w:firstLine="720"/>
      </w:pPr>
      <w:r w:rsidRPr="003018F6">
        <w:t>Los Angeles, CA 90017</w:t>
      </w:r>
    </w:p>
    <w:p w:rsidR="00EF3DA1" w:rsidRPr="003018F6" w:rsidRDefault="008B3E84">
      <w:pPr>
        <w:ind w:left="720"/>
      </w:pPr>
      <w:r w:rsidRPr="003018F6">
        <w:rPr>
          <w:bCs/>
        </w:rPr>
        <w:lastRenderedPageBreak/>
        <w:t xml:space="preserve">To </w:t>
      </w:r>
      <w:r w:rsidR="005E5F8F" w:rsidRPr="003018F6">
        <w:rPr>
          <w:bCs/>
        </w:rPr>
        <w:t>County</w:t>
      </w:r>
      <w:r w:rsidR="00BA023E" w:rsidRPr="003018F6">
        <w:rPr>
          <w:bCs/>
        </w:rPr>
        <w:t xml:space="preserve"> of Los Angeles</w:t>
      </w:r>
      <w:r w:rsidR="009464CE">
        <w:rPr>
          <w:bCs/>
        </w:rPr>
        <w:t xml:space="preserve">: </w:t>
      </w:r>
      <w:r w:rsidR="00BA023E" w:rsidRPr="003018F6">
        <w:br/>
      </w:r>
      <w:r w:rsidR="000960BC">
        <w:t xml:space="preserve">Tom </w:t>
      </w:r>
      <w:proofErr w:type="spellStart"/>
      <w:r w:rsidR="000960BC">
        <w:t>Guterres</w:t>
      </w:r>
      <w:proofErr w:type="spellEnd"/>
      <w:r w:rsidR="00BA023E" w:rsidRPr="003018F6">
        <w:br/>
        <w:t xml:space="preserve">Collins </w:t>
      </w:r>
      <w:proofErr w:type="spellStart"/>
      <w:r w:rsidR="00BA023E" w:rsidRPr="003018F6">
        <w:t>Collins</w:t>
      </w:r>
      <w:proofErr w:type="spellEnd"/>
      <w:r w:rsidR="00BA023E" w:rsidRPr="003018F6">
        <w:t xml:space="preserve"> Muir &amp; Stewart LLP</w:t>
      </w:r>
    </w:p>
    <w:p w:rsidR="00EF3DA1" w:rsidRPr="003018F6" w:rsidRDefault="00BA023E">
      <w:pPr>
        <w:ind w:firstLine="720"/>
        <w:rPr>
          <w:shd w:val="clear" w:color="auto" w:fill="FFFFFF"/>
        </w:rPr>
      </w:pPr>
      <w:r w:rsidRPr="003018F6">
        <w:rPr>
          <w:shd w:val="clear" w:color="auto" w:fill="FFFFFF"/>
        </w:rPr>
        <w:t>1100 El Centro Street</w:t>
      </w:r>
    </w:p>
    <w:p w:rsidR="00EF3DA1" w:rsidRPr="003018F6" w:rsidRDefault="00BA023E">
      <w:pPr>
        <w:ind w:firstLine="720"/>
      </w:pPr>
      <w:r w:rsidRPr="003018F6">
        <w:rPr>
          <w:shd w:val="clear" w:color="auto" w:fill="FFFFFF"/>
        </w:rPr>
        <w:t>South Pasadena, CA 91030</w:t>
      </w:r>
    </w:p>
    <w:p w:rsidR="005E5F8F" w:rsidRPr="007654C7" w:rsidRDefault="005E5F8F" w:rsidP="00A100AF"/>
    <w:p w:rsidR="008B3E84" w:rsidRPr="007654C7" w:rsidRDefault="004872A3" w:rsidP="0057041E">
      <w:pPr>
        <w:pStyle w:val="Heading1"/>
      </w:pPr>
      <w:r w:rsidRPr="007654C7">
        <w:rPr>
          <w:b/>
        </w:rPr>
        <w:t>Modification in Writing</w:t>
      </w:r>
      <w:r w:rsidR="00956A38" w:rsidRPr="007654C7">
        <w:br/>
      </w:r>
      <w:r w:rsidR="008B3E84" w:rsidRPr="007654C7">
        <w:t xml:space="preserve">No modification of this Settlement Agreement </w:t>
      </w:r>
      <w:r w:rsidR="0042307F">
        <w:t>will</w:t>
      </w:r>
      <w:r w:rsidR="008B3E84" w:rsidRPr="007654C7">
        <w:t xml:space="preserve"> be effective unless in writing and signed by authorized representatives of all Parties.</w:t>
      </w:r>
    </w:p>
    <w:p w:rsidR="005E5F8F" w:rsidRPr="00CF177C" w:rsidRDefault="005E5F8F" w:rsidP="00A100AF"/>
    <w:p w:rsidR="008B3E84" w:rsidRPr="007E06F6" w:rsidRDefault="004872A3" w:rsidP="000853C1">
      <w:pPr>
        <w:pStyle w:val="Heading1"/>
      </w:pPr>
      <w:r w:rsidRPr="00CF177C">
        <w:rPr>
          <w:b/>
        </w:rPr>
        <w:t>No Other Representations</w:t>
      </w:r>
      <w:r w:rsidR="00956A38" w:rsidRPr="00CF177C">
        <w:br/>
      </w:r>
      <w:r w:rsidR="008B3E84" w:rsidRPr="00CF177C">
        <w:t>Each party to this Settlement Agreement warrants that he, she or it is acting upon his, her or its independent judgment and upon the advice of his, her or its own counsel and no</w:t>
      </w:r>
      <w:r w:rsidR="008B3E84" w:rsidRPr="007E06F6">
        <w:t>t in reliance upon any warranty or representation, express or implied, of any nature or kind by any other party, other than the warranties and representations expressly made in this Settlement Agreement.</w:t>
      </w:r>
    </w:p>
    <w:p w:rsidR="005E5F8F" w:rsidRPr="007E06F6" w:rsidRDefault="005E5F8F" w:rsidP="00A100AF"/>
    <w:p w:rsidR="00EF3DA1" w:rsidRPr="007E06F6" w:rsidRDefault="004872A3">
      <w:pPr>
        <w:pStyle w:val="Heading1"/>
      </w:pPr>
      <w:r w:rsidRPr="007E06F6">
        <w:rPr>
          <w:b/>
        </w:rPr>
        <w:t>Settlement Agreement Has Been Read</w:t>
      </w:r>
      <w:r w:rsidRPr="007E06F6">
        <w:rPr>
          <w:b/>
        </w:rPr>
        <w:br/>
      </w:r>
      <w:r w:rsidR="008B3E84" w:rsidRPr="007E06F6">
        <w:t xml:space="preserve">This Settlement Agreement has been carefully </w:t>
      </w:r>
      <w:r w:rsidR="00DD4EA4">
        <w:t>reviewed</w:t>
      </w:r>
      <w:r w:rsidR="00DD4EA4" w:rsidRPr="007E06F6">
        <w:t xml:space="preserve"> </w:t>
      </w:r>
      <w:r w:rsidR="008B3E84" w:rsidRPr="007E06F6">
        <w:t>by each of the Parties, and its contents are known and understood by each of the Parties. This Settlement Agreement is signed freely by each party executing it.</w:t>
      </w:r>
    </w:p>
    <w:p w:rsidR="00552B60" w:rsidRPr="007E06F6" w:rsidRDefault="00552B60" w:rsidP="00A100AF"/>
    <w:p w:rsidR="008B3E84" w:rsidRPr="003018F6" w:rsidRDefault="004872A3" w:rsidP="0000408B">
      <w:pPr>
        <w:pStyle w:val="Heading1"/>
      </w:pPr>
      <w:r w:rsidRPr="000B1338">
        <w:rPr>
          <w:b/>
        </w:rPr>
        <w:t>Agreement Binding on Assigns and Successors</w:t>
      </w:r>
      <w:r w:rsidR="00956A38" w:rsidRPr="003B7FB6">
        <w:br/>
      </w:r>
      <w:r w:rsidR="008B3E84" w:rsidRPr="003018F6">
        <w:t xml:space="preserve">This Settlement Agreement </w:t>
      </w:r>
      <w:r w:rsidR="0042307F">
        <w:t>will</w:t>
      </w:r>
      <w:r w:rsidR="008B3E84" w:rsidRPr="003018F6">
        <w:t xml:space="preserve"> bind any assigns and successors of the Parties.</w:t>
      </w:r>
    </w:p>
    <w:p w:rsidR="00552B60" w:rsidRPr="003018F6" w:rsidRDefault="00552B60" w:rsidP="00A100AF"/>
    <w:p w:rsidR="008B3E84" w:rsidRPr="003018F6" w:rsidRDefault="004872A3" w:rsidP="0054553D">
      <w:pPr>
        <w:pStyle w:val="Heading1"/>
      </w:pPr>
      <w:r w:rsidRPr="003018F6">
        <w:rPr>
          <w:b/>
        </w:rPr>
        <w:t>No Admission of Liability</w:t>
      </w:r>
      <w:r w:rsidRPr="003018F6">
        <w:rPr>
          <w:b/>
        </w:rPr>
        <w:br/>
      </w:r>
      <w:r w:rsidR="008B3E84" w:rsidRPr="003018F6">
        <w:t xml:space="preserve">In entering into this Settlement Agreement, </w:t>
      </w:r>
      <w:r w:rsidR="005E5F8F" w:rsidRPr="003018F6">
        <w:t>County</w:t>
      </w:r>
      <w:r w:rsidR="008B3E84" w:rsidRPr="003018F6">
        <w:t xml:space="preserve"> does not admit, and specifically denies, that it has violated or failed to comply with any applicable laws</w:t>
      </w:r>
      <w:r w:rsidR="003A6BA7" w:rsidRPr="003018F6">
        <w:t>.</w:t>
      </w:r>
    </w:p>
    <w:p w:rsidR="005E5F8F" w:rsidRPr="003018F6" w:rsidRDefault="005E5F8F" w:rsidP="00A100AF"/>
    <w:p w:rsidR="008B3E84" w:rsidRPr="003018F6" w:rsidRDefault="004872A3" w:rsidP="005B7A67">
      <w:pPr>
        <w:pStyle w:val="Heading1"/>
      </w:pPr>
      <w:r w:rsidRPr="003018F6">
        <w:rPr>
          <w:b/>
        </w:rPr>
        <w:t>Authority</w:t>
      </w:r>
      <w:r w:rsidR="00956A38" w:rsidRPr="003018F6">
        <w:br/>
      </w:r>
      <w:r w:rsidR="008B3E84" w:rsidRPr="003018F6">
        <w:t xml:space="preserve">The persons executing this Settlement Agreement each represent and warrant that he or she has the authority to enter into this Settlement Agreement, and to resolve the matters set forth </w:t>
      </w:r>
      <w:r w:rsidR="008B3E84" w:rsidRPr="003018F6">
        <w:lastRenderedPageBreak/>
        <w:t>therein, on behalf of the party for whom he or she is executing this Settlement Agreement, and that no further approval is necessary in order for this Settlement Agreement to be binding on the party for whom he or she is executing.</w:t>
      </w:r>
    </w:p>
    <w:p w:rsidR="005E5F8F" w:rsidRPr="003018F6" w:rsidRDefault="005E5F8F" w:rsidP="00A100AF"/>
    <w:p w:rsidR="008B3E84" w:rsidRPr="003018F6" w:rsidRDefault="004872A3" w:rsidP="00FC256C">
      <w:pPr>
        <w:pStyle w:val="Heading1"/>
      </w:pPr>
      <w:r w:rsidRPr="003018F6">
        <w:rPr>
          <w:b/>
        </w:rPr>
        <w:t>Integrated Agreement</w:t>
      </w:r>
      <w:r w:rsidR="00956A38" w:rsidRPr="003018F6">
        <w:br/>
      </w:r>
      <w:r w:rsidR="008B3E84" w:rsidRPr="003018F6">
        <w:t>This Settlement Agreement constitutes the entire agreement between the Parties relating to the subject matters addressed therein and supersedes any prior agreements or understandings between them relating to the subject matter hereof. This Settlement Agreement may not be modified or amended unless such modifications or amendment is agreed in writing by authorized representatives of the Parties.</w:t>
      </w:r>
    </w:p>
    <w:p w:rsidR="005E5F8F" w:rsidRPr="003018F6" w:rsidRDefault="005E5F8F" w:rsidP="00A100AF"/>
    <w:p w:rsidR="008B3E84" w:rsidRPr="003018F6" w:rsidRDefault="004872A3" w:rsidP="004F49D8">
      <w:pPr>
        <w:pStyle w:val="Heading1"/>
      </w:pPr>
      <w:r w:rsidRPr="003018F6">
        <w:rPr>
          <w:b/>
        </w:rPr>
        <w:t>Rules of Construction</w:t>
      </w:r>
      <w:r w:rsidR="00956A38" w:rsidRPr="003018F6">
        <w:br/>
      </w:r>
      <w:r w:rsidR="008B3E84" w:rsidRPr="003018F6">
        <w:t xml:space="preserve">Each party and his, her, or its legal counsel have reviewed and participated in the drafting of this Settlement Agreement; and any rule of construction to the effect that ambiguities are construed against the drafting party </w:t>
      </w:r>
      <w:r w:rsidR="0042307F">
        <w:t>will</w:t>
      </w:r>
      <w:r w:rsidR="008B3E84" w:rsidRPr="003018F6">
        <w:t xml:space="preserve"> not apply in the interpretation or construction of this Settlement Agreement. Section titles used herein are intended for reference purposes only and are not to be construed as part of this Settlement Agreement. The Recitals are integral to the construction and interpretation of this Settlement Agreement and are therefore incorporated into this Settlement Agreement in their entirety.</w:t>
      </w:r>
    </w:p>
    <w:p w:rsidR="005E5F8F" w:rsidRPr="003018F6" w:rsidRDefault="005E5F8F" w:rsidP="00A100AF"/>
    <w:p w:rsidR="008B3E84" w:rsidRPr="003018F6" w:rsidRDefault="004872A3" w:rsidP="00B14F71">
      <w:pPr>
        <w:pStyle w:val="Heading1"/>
      </w:pPr>
      <w:r w:rsidRPr="003018F6">
        <w:rPr>
          <w:b/>
        </w:rPr>
        <w:t>Governing Law</w:t>
      </w:r>
      <w:r w:rsidR="00956A38" w:rsidRPr="003018F6">
        <w:br/>
      </w:r>
      <w:r w:rsidR="008B3E84" w:rsidRPr="003018F6">
        <w:t xml:space="preserve">The interpretation and enforcement of this Settlement Agreement </w:t>
      </w:r>
      <w:r w:rsidR="0042307F">
        <w:t>will</w:t>
      </w:r>
      <w:r w:rsidR="008B3E84" w:rsidRPr="003018F6">
        <w:t xml:space="preserve"> be governed by the laws of the State of California.</w:t>
      </w:r>
    </w:p>
    <w:p w:rsidR="005E5F8F" w:rsidRPr="003018F6" w:rsidRDefault="005E5F8F" w:rsidP="00A100AF"/>
    <w:p w:rsidR="008B3E84" w:rsidRPr="003018F6" w:rsidRDefault="004872A3" w:rsidP="0079161D">
      <w:pPr>
        <w:pStyle w:val="Heading1"/>
      </w:pPr>
      <w:r w:rsidRPr="003018F6">
        <w:rPr>
          <w:b/>
        </w:rPr>
        <w:t>Multiple Originals/Execution in Counterparts</w:t>
      </w:r>
      <w:r w:rsidR="00956A38" w:rsidRPr="003018F6">
        <w:br/>
      </w:r>
      <w:r w:rsidR="008B3E84" w:rsidRPr="003018F6">
        <w:t>Each party and Claimant</w:t>
      </w:r>
      <w:r w:rsidR="00115CB6" w:rsidRPr="003018F6">
        <w:t>’</w:t>
      </w:r>
      <w:r w:rsidR="008B3E84" w:rsidRPr="003018F6">
        <w:t xml:space="preserve">s Counsel </w:t>
      </w:r>
      <w:r w:rsidR="0042307F">
        <w:t>will</w:t>
      </w:r>
      <w:r w:rsidR="008B3E84" w:rsidRPr="003018F6">
        <w:t xml:space="preserve"> sign one (1) original copy of this Settlement Agreement. This Settlement Agreement may be executed in counterparts and facsimile and PDF signatures </w:t>
      </w:r>
      <w:r w:rsidR="0042307F">
        <w:t>will</w:t>
      </w:r>
      <w:r w:rsidR="008B3E84" w:rsidRPr="003018F6">
        <w:t xml:space="preserve"> be accepted as original but all of which </w:t>
      </w:r>
      <w:r w:rsidR="0042307F">
        <w:t>will</w:t>
      </w:r>
      <w:r w:rsidR="008B3E84" w:rsidRPr="003018F6">
        <w:t xml:space="preserve"> constitute one and the same instrument.</w:t>
      </w:r>
    </w:p>
    <w:p w:rsidR="00552B60" w:rsidRPr="003018F6" w:rsidRDefault="00552B60" w:rsidP="00A100AF"/>
    <w:p w:rsidR="005C2041" w:rsidRDefault="005C2041" w:rsidP="00A100AF"/>
    <w:p w:rsidR="008B3E84" w:rsidRDefault="008B3E84" w:rsidP="00A100AF">
      <w:r w:rsidRPr="003018F6">
        <w:lastRenderedPageBreak/>
        <w:t>PARTIES</w:t>
      </w:r>
      <w:r w:rsidR="00777295" w:rsidRPr="003018F6">
        <w:t>:</w:t>
      </w:r>
    </w:p>
    <w:p w:rsidR="00CA3DF9" w:rsidRDefault="00CA3DF9" w:rsidP="00A100AF"/>
    <w:tbl>
      <w:tblPr>
        <w:tblStyle w:val="TableGrid"/>
        <w:tblW w:w="97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325"/>
        <w:gridCol w:w="2520"/>
        <w:gridCol w:w="360"/>
        <w:gridCol w:w="1800"/>
      </w:tblGrid>
      <w:tr w:rsidR="00CA3DF9" w:rsidTr="005A6870">
        <w:tc>
          <w:tcPr>
            <w:tcW w:w="4787" w:type="dxa"/>
            <w:vAlign w:val="center"/>
          </w:tcPr>
          <w:p w:rsidR="00CA3DF9" w:rsidRDefault="00CA3DF9" w:rsidP="00CA3DF9">
            <w:pPr>
              <w:shd w:val="clear" w:color="auto" w:fill="auto"/>
            </w:pPr>
            <w:r w:rsidRPr="003018F6">
              <w:rPr>
                <w:b/>
              </w:rPr>
              <w:t>THE COUNTY OF LOS ANGELES</w:t>
            </w:r>
          </w:p>
        </w:tc>
        <w:tc>
          <w:tcPr>
            <w:tcW w:w="2845" w:type="dxa"/>
            <w:gridSpan w:val="2"/>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Pr>
          <w:p w:rsidR="00CA3DF9" w:rsidRDefault="00CA3DF9" w:rsidP="00CA3DF9">
            <w:pPr>
              <w:shd w:val="clear" w:color="auto" w:fill="auto"/>
            </w:pPr>
          </w:p>
        </w:tc>
      </w:tr>
      <w:tr w:rsidR="00CA3DF9" w:rsidTr="005A6870">
        <w:tc>
          <w:tcPr>
            <w:tcW w:w="5112" w:type="dxa"/>
            <w:gridSpan w:val="2"/>
            <w:vAlign w:val="center"/>
          </w:tcPr>
          <w:p w:rsidR="00CA3DF9" w:rsidRPr="003018F6" w:rsidRDefault="00CA3DF9" w:rsidP="00CA3DF9">
            <w:pPr>
              <w:shd w:val="clear" w:color="auto" w:fill="auto"/>
              <w:rPr>
                <w:b/>
              </w:rPr>
            </w:pPr>
          </w:p>
        </w:tc>
        <w:tc>
          <w:tcPr>
            <w:tcW w:w="2520" w:type="dxa"/>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Pr>
          <w:p w:rsidR="00CA3DF9" w:rsidRDefault="00CA3DF9" w:rsidP="00CA3DF9">
            <w:pPr>
              <w:shd w:val="clear" w:color="auto" w:fill="auto"/>
            </w:pPr>
          </w:p>
        </w:tc>
      </w:tr>
      <w:tr w:rsidR="00CA3DF9" w:rsidTr="005A6870">
        <w:tc>
          <w:tcPr>
            <w:tcW w:w="5112" w:type="dxa"/>
            <w:gridSpan w:val="2"/>
            <w:vAlign w:val="center"/>
          </w:tcPr>
          <w:p w:rsidR="00CA3DF9" w:rsidRDefault="00CA3DF9" w:rsidP="00CA3DF9">
            <w:pPr>
              <w:shd w:val="clear" w:color="auto" w:fill="auto"/>
            </w:pPr>
            <w:r>
              <w:t>By: __________________</w:t>
            </w:r>
          </w:p>
        </w:tc>
        <w:tc>
          <w:tcPr>
            <w:tcW w:w="2520" w:type="dxa"/>
            <w:tcBorders>
              <w:bottom w:val="single" w:sz="4" w:space="0" w:color="auto"/>
            </w:tcBorders>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Borders>
              <w:bottom w:val="single" w:sz="4" w:space="0" w:color="auto"/>
            </w:tcBorders>
          </w:tcPr>
          <w:p w:rsidR="00CA3DF9" w:rsidRDefault="00CA3DF9" w:rsidP="00CA3DF9">
            <w:pPr>
              <w:shd w:val="clear" w:color="auto" w:fill="auto"/>
            </w:pPr>
          </w:p>
        </w:tc>
      </w:tr>
      <w:tr w:rsidR="00612CBE" w:rsidTr="00612CBE">
        <w:tc>
          <w:tcPr>
            <w:tcW w:w="5112" w:type="dxa"/>
            <w:gridSpan w:val="2"/>
            <w:vAlign w:val="center"/>
          </w:tcPr>
          <w:p w:rsidR="00612CBE" w:rsidRDefault="00612CBE" w:rsidP="00CA3DF9">
            <w:pPr>
              <w:shd w:val="clear" w:color="auto" w:fill="auto"/>
            </w:pPr>
            <w:r>
              <w:t xml:space="preserve">      Name</w:t>
            </w:r>
          </w:p>
        </w:tc>
        <w:tc>
          <w:tcPr>
            <w:tcW w:w="2520" w:type="dxa"/>
            <w:vAlign w:val="center"/>
          </w:tcPr>
          <w:p w:rsidR="00612CBE" w:rsidRDefault="00612CBE" w:rsidP="00CA3DF9">
            <w:pPr>
              <w:shd w:val="clear" w:color="auto" w:fill="auto"/>
            </w:pPr>
          </w:p>
        </w:tc>
        <w:tc>
          <w:tcPr>
            <w:tcW w:w="360" w:type="dxa"/>
          </w:tcPr>
          <w:p w:rsidR="00612CBE" w:rsidRDefault="00612CBE" w:rsidP="00CA3DF9">
            <w:pPr>
              <w:shd w:val="clear" w:color="auto" w:fill="auto"/>
            </w:pPr>
          </w:p>
        </w:tc>
        <w:tc>
          <w:tcPr>
            <w:tcW w:w="1800" w:type="dxa"/>
          </w:tcPr>
          <w:p w:rsidR="00612CBE" w:rsidRDefault="00612CBE" w:rsidP="00CA3DF9">
            <w:pPr>
              <w:shd w:val="clear" w:color="auto" w:fill="auto"/>
            </w:pPr>
            <w:r>
              <w:t>Date</w:t>
            </w:r>
          </w:p>
        </w:tc>
      </w:tr>
      <w:tr w:rsidR="00612CBE" w:rsidTr="00612CBE">
        <w:tc>
          <w:tcPr>
            <w:tcW w:w="5112" w:type="dxa"/>
            <w:gridSpan w:val="2"/>
            <w:vAlign w:val="center"/>
          </w:tcPr>
          <w:p w:rsidR="00612CBE" w:rsidRDefault="00612CBE" w:rsidP="00CA3DF9">
            <w:pPr>
              <w:shd w:val="clear" w:color="auto" w:fill="auto"/>
            </w:pPr>
          </w:p>
        </w:tc>
        <w:tc>
          <w:tcPr>
            <w:tcW w:w="2520" w:type="dxa"/>
            <w:vAlign w:val="center"/>
          </w:tcPr>
          <w:p w:rsidR="00612CBE" w:rsidRDefault="00612CBE" w:rsidP="00CA3DF9">
            <w:pPr>
              <w:shd w:val="clear" w:color="auto" w:fill="auto"/>
            </w:pPr>
          </w:p>
        </w:tc>
        <w:tc>
          <w:tcPr>
            <w:tcW w:w="360" w:type="dxa"/>
          </w:tcPr>
          <w:p w:rsidR="00612CBE" w:rsidRDefault="00612CBE" w:rsidP="00CA3DF9">
            <w:pPr>
              <w:shd w:val="clear" w:color="auto" w:fill="auto"/>
            </w:pPr>
          </w:p>
        </w:tc>
        <w:tc>
          <w:tcPr>
            <w:tcW w:w="1800" w:type="dxa"/>
          </w:tcPr>
          <w:p w:rsidR="00612CBE" w:rsidRDefault="00612CBE" w:rsidP="00CA3DF9">
            <w:pPr>
              <w:shd w:val="clear" w:color="auto" w:fill="auto"/>
            </w:pPr>
          </w:p>
        </w:tc>
      </w:tr>
      <w:tr w:rsidR="00612CBE" w:rsidTr="00612CBE">
        <w:tc>
          <w:tcPr>
            <w:tcW w:w="5112" w:type="dxa"/>
            <w:gridSpan w:val="2"/>
            <w:vAlign w:val="center"/>
          </w:tcPr>
          <w:p w:rsidR="00612CBE" w:rsidRDefault="00612CBE" w:rsidP="00CA3DF9">
            <w:pPr>
              <w:shd w:val="clear" w:color="auto" w:fill="auto"/>
            </w:pPr>
            <w:r>
              <w:t xml:space="preserve">      </w:t>
            </w:r>
            <w:r>
              <w:t>__________________</w:t>
            </w:r>
          </w:p>
        </w:tc>
        <w:tc>
          <w:tcPr>
            <w:tcW w:w="2520" w:type="dxa"/>
            <w:vAlign w:val="center"/>
          </w:tcPr>
          <w:p w:rsidR="00612CBE" w:rsidRDefault="00612CBE" w:rsidP="00CA3DF9">
            <w:pPr>
              <w:shd w:val="clear" w:color="auto" w:fill="auto"/>
            </w:pPr>
          </w:p>
        </w:tc>
        <w:tc>
          <w:tcPr>
            <w:tcW w:w="360" w:type="dxa"/>
          </w:tcPr>
          <w:p w:rsidR="00612CBE" w:rsidRDefault="00612CBE" w:rsidP="00CA3DF9">
            <w:pPr>
              <w:shd w:val="clear" w:color="auto" w:fill="auto"/>
            </w:pPr>
          </w:p>
        </w:tc>
        <w:tc>
          <w:tcPr>
            <w:tcW w:w="1800" w:type="dxa"/>
          </w:tcPr>
          <w:p w:rsidR="00612CBE" w:rsidRDefault="00612CBE" w:rsidP="00CA3DF9">
            <w:pPr>
              <w:shd w:val="clear" w:color="auto" w:fill="auto"/>
            </w:pPr>
          </w:p>
        </w:tc>
      </w:tr>
      <w:tr w:rsidR="00CA3DF9" w:rsidTr="00612CBE">
        <w:tc>
          <w:tcPr>
            <w:tcW w:w="5112" w:type="dxa"/>
            <w:gridSpan w:val="2"/>
            <w:vAlign w:val="center"/>
          </w:tcPr>
          <w:p w:rsidR="00CA3DF9" w:rsidRDefault="005A6870" w:rsidP="00CA3DF9">
            <w:pPr>
              <w:shd w:val="clear" w:color="auto" w:fill="auto"/>
            </w:pPr>
            <w:r>
              <w:t xml:space="preserve">      </w:t>
            </w:r>
            <w:r w:rsidR="00612CBE">
              <w:t>Title</w:t>
            </w:r>
          </w:p>
        </w:tc>
        <w:tc>
          <w:tcPr>
            <w:tcW w:w="2520" w:type="dxa"/>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Pr>
          <w:p w:rsidR="00CA3DF9" w:rsidRDefault="00CA3DF9" w:rsidP="00CA3DF9">
            <w:pPr>
              <w:shd w:val="clear" w:color="auto" w:fill="auto"/>
            </w:pPr>
          </w:p>
        </w:tc>
      </w:tr>
      <w:tr w:rsidR="00820257" w:rsidTr="005A6870">
        <w:tc>
          <w:tcPr>
            <w:tcW w:w="5112" w:type="dxa"/>
            <w:gridSpan w:val="2"/>
            <w:vAlign w:val="center"/>
          </w:tcPr>
          <w:p w:rsidR="00820257" w:rsidRDefault="00820257" w:rsidP="00CA3DF9">
            <w:pPr>
              <w:shd w:val="clear" w:color="auto" w:fill="auto"/>
            </w:pPr>
          </w:p>
        </w:tc>
        <w:tc>
          <w:tcPr>
            <w:tcW w:w="2520" w:type="dxa"/>
            <w:vAlign w:val="center"/>
          </w:tcPr>
          <w:p w:rsidR="00820257" w:rsidRDefault="00820257" w:rsidP="00CA3DF9">
            <w:pPr>
              <w:shd w:val="clear" w:color="auto" w:fill="auto"/>
            </w:pPr>
          </w:p>
        </w:tc>
        <w:tc>
          <w:tcPr>
            <w:tcW w:w="360" w:type="dxa"/>
          </w:tcPr>
          <w:p w:rsidR="00820257" w:rsidRDefault="00820257" w:rsidP="00CA3DF9">
            <w:pPr>
              <w:shd w:val="clear" w:color="auto" w:fill="auto"/>
            </w:pPr>
          </w:p>
        </w:tc>
        <w:tc>
          <w:tcPr>
            <w:tcW w:w="1800" w:type="dxa"/>
          </w:tcPr>
          <w:p w:rsidR="00820257" w:rsidRDefault="00820257" w:rsidP="00CA3DF9">
            <w:pPr>
              <w:shd w:val="clear" w:color="auto" w:fill="auto"/>
            </w:pPr>
          </w:p>
        </w:tc>
      </w:tr>
      <w:tr w:rsidR="00CA3DF9" w:rsidTr="005A6870">
        <w:tc>
          <w:tcPr>
            <w:tcW w:w="5112" w:type="dxa"/>
            <w:gridSpan w:val="2"/>
            <w:vAlign w:val="center"/>
          </w:tcPr>
          <w:p w:rsidR="00CA3DF9" w:rsidRDefault="00CA3DF9" w:rsidP="00CA3DF9">
            <w:r w:rsidRPr="00CA3DF9">
              <w:rPr>
                <w:b/>
              </w:rPr>
              <w:t>CLAIMANT</w:t>
            </w:r>
          </w:p>
        </w:tc>
        <w:tc>
          <w:tcPr>
            <w:tcW w:w="2520" w:type="dxa"/>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Pr>
          <w:p w:rsidR="00CA3DF9" w:rsidRDefault="00CA3DF9" w:rsidP="00CA3DF9">
            <w:pPr>
              <w:shd w:val="clear" w:color="auto" w:fill="auto"/>
            </w:pPr>
          </w:p>
        </w:tc>
      </w:tr>
      <w:tr w:rsidR="00CA3DF9" w:rsidTr="005A6870">
        <w:tc>
          <w:tcPr>
            <w:tcW w:w="5112" w:type="dxa"/>
            <w:gridSpan w:val="2"/>
            <w:vAlign w:val="center"/>
          </w:tcPr>
          <w:p w:rsidR="00CA3DF9" w:rsidRPr="00CA3DF9" w:rsidRDefault="00CA3DF9" w:rsidP="00CA3DF9">
            <w:pPr>
              <w:rPr>
                <w:b/>
              </w:rPr>
            </w:pPr>
          </w:p>
        </w:tc>
        <w:tc>
          <w:tcPr>
            <w:tcW w:w="2520" w:type="dxa"/>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Pr>
          <w:p w:rsidR="00CA3DF9" w:rsidRDefault="00CA3DF9" w:rsidP="00CA3DF9">
            <w:pPr>
              <w:shd w:val="clear" w:color="auto" w:fill="auto"/>
            </w:pPr>
          </w:p>
        </w:tc>
      </w:tr>
      <w:tr w:rsidR="00CA3DF9" w:rsidTr="005A6870">
        <w:tc>
          <w:tcPr>
            <w:tcW w:w="5112" w:type="dxa"/>
            <w:gridSpan w:val="2"/>
            <w:vAlign w:val="center"/>
          </w:tcPr>
          <w:p w:rsidR="00CA3DF9" w:rsidRDefault="00CA3DF9" w:rsidP="00CA3DF9">
            <w:r w:rsidRPr="003018F6">
              <w:t xml:space="preserve">By: </w:t>
            </w:r>
            <w:r w:rsidRPr="005A6870">
              <w:t>Alicia Juarez</w:t>
            </w:r>
          </w:p>
        </w:tc>
        <w:tc>
          <w:tcPr>
            <w:tcW w:w="2520" w:type="dxa"/>
            <w:tcBorders>
              <w:bottom w:val="single" w:sz="4" w:space="0" w:color="auto"/>
            </w:tcBorders>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Borders>
              <w:bottom w:val="single" w:sz="4" w:space="0" w:color="auto"/>
            </w:tcBorders>
          </w:tcPr>
          <w:p w:rsidR="00CA3DF9" w:rsidRDefault="00CA3DF9" w:rsidP="00CA3DF9">
            <w:pPr>
              <w:shd w:val="clear" w:color="auto" w:fill="auto"/>
            </w:pPr>
          </w:p>
        </w:tc>
      </w:tr>
      <w:tr w:rsidR="00CA3DF9" w:rsidTr="005A6870">
        <w:tc>
          <w:tcPr>
            <w:tcW w:w="5112" w:type="dxa"/>
            <w:gridSpan w:val="2"/>
            <w:vAlign w:val="center"/>
          </w:tcPr>
          <w:p w:rsidR="00CA3DF9" w:rsidRPr="003018F6" w:rsidRDefault="00CA3DF9" w:rsidP="00CA3DF9"/>
        </w:tc>
        <w:tc>
          <w:tcPr>
            <w:tcW w:w="2520" w:type="dxa"/>
            <w:tcBorders>
              <w:top w:val="single" w:sz="4" w:space="0" w:color="auto"/>
            </w:tcBorders>
            <w:vAlign w:val="center"/>
          </w:tcPr>
          <w:p w:rsidR="00CA3DF9" w:rsidRDefault="00CA3DF9" w:rsidP="00CA3DF9">
            <w:pPr>
              <w:shd w:val="clear" w:color="auto" w:fill="auto"/>
            </w:pPr>
          </w:p>
        </w:tc>
        <w:tc>
          <w:tcPr>
            <w:tcW w:w="360" w:type="dxa"/>
          </w:tcPr>
          <w:p w:rsidR="00CA3DF9" w:rsidRDefault="00CA3DF9" w:rsidP="00CA3DF9">
            <w:pPr>
              <w:shd w:val="clear" w:color="auto" w:fill="auto"/>
            </w:pPr>
          </w:p>
        </w:tc>
        <w:tc>
          <w:tcPr>
            <w:tcW w:w="1800" w:type="dxa"/>
            <w:tcBorders>
              <w:top w:val="single" w:sz="4" w:space="0" w:color="auto"/>
            </w:tcBorders>
          </w:tcPr>
          <w:p w:rsidR="00CA3DF9" w:rsidRDefault="00CA3DF9" w:rsidP="00CA3DF9">
            <w:pPr>
              <w:shd w:val="clear" w:color="auto" w:fill="auto"/>
            </w:pPr>
            <w:r>
              <w:t>Date</w:t>
            </w:r>
          </w:p>
        </w:tc>
      </w:tr>
    </w:tbl>
    <w:p w:rsidR="00CA3DF9" w:rsidRDefault="00CA3DF9" w:rsidP="00A100AF"/>
    <w:p w:rsidR="00CA3DF9" w:rsidRDefault="00CA3DF9" w:rsidP="00A100AF"/>
    <w:p w:rsidR="00E22B36" w:rsidRDefault="00E22B36" w:rsidP="00A100AF"/>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520"/>
        <w:gridCol w:w="360"/>
        <w:gridCol w:w="1800"/>
      </w:tblGrid>
      <w:tr w:rsidR="00DD681B" w:rsidTr="00DD681B">
        <w:tc>
          <w:tcPr>
            <w:tcW w:w="5130" w:type="dxa"/>
            <w:vAlign w:val="center"/>
          </w:tcPr>
          <w:p w:rsidR="00DD681B" w:rsidRDefault="00DD681B" w:rsidP="00176AF1">
            <w:pPr>
              <w:shd w:val="clear" w:color="auto" w:fill="auto"/>
            </w:pPr>
            <w:r w:rsidRPr="003018F6">
              <w:t>APPROVED AS TO FORM</w:t>
            </w:r>
            <w:r w:rsidR="00820257">
              <w:t>:</w:t>
            </w:r>
          </w:p>
        </w:tc>
        <w:tc>
          <w:tcPr>
            <w:tcW w:w="2520" w:type="dxa"/>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Pr>
          <w:p w:rsidR="00DD681B" w:rsidRDefault="00DD681B" w:rsidP="00176AF1">
            <w:pPr>
              <w:shd w:val="clear" w:color="auto" w:fill="auto"/>
            </w:pPr>
          </w:p>
        </w:tc>
      </w:tr>
      <w:tr w:rsidR="00DD681B" w:rsidTr="00DD681B">
        <w:tc>
          <w:tcPr>
            <w:tcW w:w="5130" w:type="dxa"/>
            <w:vAlign w:val="center"/>
          </w:tcPr>
          <w:p w:rsidR="00DD681B" w:rsidRPr="003018F6" w:rsidRDefault="00DD681B" w:rsidP="00176AF1">
            <w:pPr>
              <w:shd w:val="clear" w:color="auto" w:fill="auto"/>
            </w:pPr>
          </w:p>
        </w:tc>
        <w:tc>
          <w:tcPr>
            <w:tcW w:w="2520" w:type="dxa"/>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Pr>
          <w:p w:rsidR="00DD681B" w:rsidRDefault="00DD681B" w:rsidP="00176AF1">
            <w:pPr>
              <w:shd w:val="clear" w:color="auto" w:fill="auto"/>
            </w:pPr>
          </w:p>
        </w:tc>
      </w:tr>
      <w:tr w:rsidR="00DD681B" w:rsidTr="00DD681B">
        <w:tc>
          <w:tcPr>
            <w:tcW w:w="5130" w:type="dxa"/>
            <w:vAlign w:val="center"/>
          </w:tcPr>
          <w:p w:rsidR="00DD681B" w:rsidRPr="00E22B36" w:rsidRDefault="00DD681B" w:rsidP="00176AF1">
            <w:pPr>
              <w:shd w:val="clear" w:color="auto" w:fill="auto"/>
            </w:pPr>
          </w:p>
        </w:tc>
        <w:tc>
          <w:tcPr>
            <w:tcW w:w="2520" w:type="dxa"/>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Pr>
          <w:p w:rsidR="00DD681B" w:rsidRDefault="00DD681B" w:rsidP="00176AF1">
            <w:pPr>
              <w:shd w:val="clear" w:color="auto" w:fill="auto"/>
            </w:pPr>
          </w:p>
        </w:tc>
      </w:tr>
      <w:tr w:rsidR="00DD681B" w:rsidTr="00DD681B">
        <w:tc>
          <w:tcPr>
            <w:tcW w:w="5130" w:type="dxa"/>
            <w:vAlign w:val="center"/>
          </w:tcPr>
          <w:p w:rsidR="00DD681B" w:rsidRDefault="005A6870" w:rsidP="00E22B36">
            <w:pPr>
              <w:rPr>
                <w:b/>
              </w:rPr>
            </w:pPr>
            <w:r>
              <w:rPr>
                <w:b/>
              </w:rPr>
              <w:t xml:space="preserve">COLLINS </w:t>
            </w:r>
            <w:proofErr w:type="spellStart"/>
            <w:r>
              <w:rPr>
                <w:b/>
              </w:rPr>
              <w:t>COLLINS</w:t>
            </w:r>
            <w:proofErr w:type="spellEnd"/>
            <w:r>
              <w:rPr>
                <w:b/>
              </w:rPr>
              <w:t xml:space="preserve"> MUIR +</w:t>
            </w:r>
            <w:r w:rsidR="00DD681B" w:rsidRPr="00E22B36">
              <w:rPr>
                <w:b/>
              </w:rPr>
              <w:t xml:space="preserve"> STEWART LLP</w:t>
            </w:r>
          </w:p>
          <w:p w:rsidR="00F002BB" w:rsidRDefault="00F002BB" w:rsidP="00E22B36"/>
        </w:tc>
        <w:tc>
          <w:tcPr>
            <w:tcW w:w="2520" w:type="dxa"/>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Pr>
          <w:p w:rsidR="00DD681B" w:rsidRDefault="00DD681B" w:rsidP="00176AF1">
            <w:pPr>
              <w:shd w:val="clear" w:color="auto" w:fill="auto"/>
            </w:pPr>
          </w:p>
        </w:tc>
      </w:tr>
      <w:tr w:rsidR="00DD681B" w:rsidTr="00DD681B">
        <w:tc>
          <w:tcPr>
            <w:tcW w:w="5130" w:type="dxa"/>
            <w:vAlign w:val="center"/>
          </w:tcPr>
          <w:p w:rsidR="00DD681B" w:rsidRPr="005A6870" w:rsidRDefault="00DD681B" w:rsidP="00176AF1">
            <w:pPr>
              <w:shd w:val="clear" w:color="auto" w:fill="auto"/>
            </w:pPr>
            <w:r w:rsidRPr="003018F6">
              <w:t xml:space="preserve">By: </w:t>
            </w:r>
            <w:r w:rsidRPr="005A6870">
              <w:t xml:space="preserve">Tom </w:t>
            </w:r>
            <w:proofErr w:type="spellStart"/>
            <w:r w:rsidRPr="005A6870">
              <w:t>Guterres</w:t>
            </w:r>
            <w:proofErr w:type="spellEnd"/>
            <w:r w:rsidRPr="005A6870">
              <w:t xml:space="preserve">, </w:t>
            </w:r>
          </w:p>
          <w:p w:rsidR="00DD681B" w:rsidRDefault="00DD681B" w:rsidP="00176AF1">
            <w:pPr>
              <w:shd w:val="clear" w:color="auto" w:fill="auto"/>
            </w:pPr>
            <w:r w:rsidRPr="005A6870">
              <w:t>Attorney for County of Los Angeles</w:t>
            </w:r>
          </w:p>
        </w:tc>
        <w:tc>
          <w:tcPr>
            <w:tcW w:w="2520" w:type="dxa"/>
            <w:tcBorders>
              <w:bottom w:val="single" w:sz="4" w:space="0" w:color="auto"/>
            </w:tcBorders>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Borders>
              <w:bottom w:val="single" w:sz="4" w:space="0" w:color="auto"/>
            </w:tcBorders>
          </w:tcPr>
          <w:p w:rsidR="00DD681B" w:rsidRDefault="00DD681B" w:rsidP="00176AF1">
            <w:pPr>
              <w:shd w:val="clear" w:color="auto" w:fill="auto"/>
            </w:pPr>
          </w:p>
        </w:tc>
      </w:tr>
      <w:tr w:rsidR="00DD681B" w:rsidTr="00DD681B">
        <w:tc>
          <w:tcPr>
            <w:tcW w:w="5130" w:type="dxa"/>
            <w:vAlign w:val="center"/>
          </w:tcPr>
          <w:p w:rsidR="00DD681B" w:rsidRDefault="00DD681B" w:rsidP="00176AF1"/>
        </w:tc>
        <w:tc>
          <w:tcPr>
            <w:tcW w:w="2520" w:type="dxa"/>
            <w:tcBorders>
              <w:top w:val="single" w:sz="4" w:space="0" w:color="auto"/>
            </w:tcBorders>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Borders>
              <w:top w:val="single" w:sz="4" w:space="0" w:color="auto"/>
            </w:tcBorders>
          </w:tcPr>
          <w:p w:rsidR="00DD681B" w:rsidRDefault="00DD681B" w:rsidP="00176AF1">
            <w:pPr>
              <w:shd w:val="clear" w:color="auto" w:fill="auto"/>
            </w:pPr>
            <w:r>
              <w:t>Date</w:t>
            </w:r>
          </w:p>
        </w:tc>
      </w:tr>
      <w:tr w:rsidR="00DD681B" w:rsidTr="00DD681B">
        <w:tc>
          <w:tcPr>
            <w:tcW w:w="5130" w:type="dxa"/>
            <w:vAlign w:val="center"/>
          </w:tcPr>
          <w:p w:rsidR="00DD681B" w:rsidRDefault="00DD681B" w:rsidP="00E22B36">
            <w:pPr>
              <w:rPr>
                <w:b/>
              </w:rPr>
            </w:pPr>
            <w:r w:rsidRPr="00E22B36">
              <w:rPr>
                <w:b/>
              </w:rPr>
              <w:t>DISABILITY RIGHTS CALIFORNIA</w:t>
            </w:r>
          </w:p>
          <w:p w:rsidR="00F002BB" w:rsidRPr="00CA3DF9" w:rsidRDefault="00F002BB" w:rsidP="00E22B36">
            <w:pPr>
              <w:rPr>
                <w:b/>
              </w:rPr>
            </w:pPr>
          </w:p>
        </w:tc>
        <w:tc>
          <w:tcPr>
            <w:tcW w:w="2520" w:type="dxa"/>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Pr>
          <w:p w:rsidR="00DD681B" w:rsidRDefault="00DD681B" w:rsidP="00176AF1">
            <w:pPr>
              <w:shd w:val="clear" w:color="auto" w:fill="auto"/>
            </w:pPr>
          </w:p>
        </w:tc>
      </w:tr>
      <w:tr w:rsidR="00DD681B" w:rsidTr="00DD681B">
        <w:tc>
          <w:tcPr>
            <w:tcW w:w="5130" w:type="dxa"/>
            <w:vAlign w:val="center"/>
          </w:tcPr>
          <w:p w:rsidR="00DD681B" w:rsidRPr="005A6870" w:rsidRDefault="00DD681B" w:rsidP="00E22B36">
            <w:r w:rsidRPr="003018F6">
              <w:t xml:space="preserve">By: </w:t>
            </w:r>
            <w:r w:rsidRPr="005A6870">
              <w:t xml:space="preserve">Sri Panchalam, </w:t>
            </w:r>
          </w:p>
          <w:p w:rsidR="00DD681B" w:rsidRDefault="00DD681B" w:rsidP="00E22B36">
            <w:r w:rsidRPr="005A6870">
              <w:t>Attorney for Claimant</w:t>
            </w:r>
          </w:p>
        </w:tc>
        <w:tc>
          <w:tcPr>
            <w:tcW w:w="2520" w:type="dxa"/>
            <w:tcBorders>
              <w:bottom w:val="single" w:sz="4" w:space="0" w:color="auto"/>
            </w:tcBorders>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Borders>
              <w:bottom w:val="single" w:sz="4" w:space="0" w:color="auto"/>
            </w:tcBorders>
          </w:tcPr>
          <w:p w:rsidR="00DD681B" w:rsidRDefault="00DD681B" w:rsidP="00176AF1">
            <w:pPr>
              <w:shd w:val="clear" w:color="auto" w:fill="auto"/>
            </w:pPr>
          </w:p>
        </w:tc>
      </w:tr>
      <w:tr w:rsidR="00DD681B" w:rsidTr="00DD681B">
        <w:tc>
          <w:tcPr>
            <w:tcW w:w="5130" w:type="dxa"/>
            <w:vAlign w:val="center"/>
          </w:tcPr>
          <w:p w:rsidR="00DD681B" w:rsidRPr="003018F6" w:rsidRDefault="00DD681B" w:rsidP="00176AF1"/>
        </w:tc>
        <w:tc>
          <w:tcPr>
            <w:tcW w:w="2520" w:type="dxa"/>
            <w:tcBorders>
              <w:top w:val="single" w:sz="4" w:space="0" w:color="auto"/>
            </w:tcBorders>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Borders>
              <w:top w:val="single" w:sz="4" w:space="0" w:color="auto"/>
            </w:tcBorders>
          </w:tcPr>
          <w:p w:rsidR="00DD681B" w:rsidRDefault="00DD681B" w:rsidP="00176AF1">
            <w:pPr>
              <w:shd w:val="clear" w:color="auto" w:fill="auto"/>
            </w:pPr>
            <w:r>
              <w:t>Date</w:t>
            </w:r>
          </w:p>
        </w:tc>
      </w:tr>
      <w:tr w:rsidR="00DD681B" w:rsidTr="00DD681B">
        <w:tc>
          <w:tcPr>
            <w:tcW w:w="5130" w:type="dxa"/>
            <w:vAlign w:val="center"/>
          </w:tcPr>
          <w:p w:rsidR="00DD681B" w:rsidRDefault="00DD681B" w:rsidP="00176AF1">
            <w:pPr>
              <w:rPr>
                <w:b/>
                <w:bCs/>
              </w:rPr>
            </w:pPr>
            <w:r w:rsidRPr="003018F6">
              <w:rPr>
                <w:b/>
                <w:bCs/>
              </w:rPr>
              <w:t>LAW OFFICE OF LAINEY FEINGOLD</w:t>
            </w:r>
          </w:p>
          <w:p w:rsidR="00F002BB" w:rsidRPr="003018F6" w:rsidRDefault="00F002BB" w:rsidP="00176AF1"/>
        </w:tc>
        <w:tc>
          <w:tcPr>
            <w:tcW w:w="2520" w:type="dxa"/>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Pr>
          <w:p w:rsidR="00DD681B" w:rsidRDefault="00DD681B" w:rsidP="00176AF1">
            <w:pPr>
              <w:shd w:val="clear" w:color="auto" w:fill="auto"/>
            </w:pPr>
          </w:p>
        </w:tc>
      </w:tr>
      <w:tr w:rsidR="00DD681B" w:rsidTr="00DD681B">
        <w:tc>
          <w:tcPr>
            <w:tcW w:w="5130" w:type="dxa"/>
            <w:vAlign w:val="center"/>
          </w:tcPr>
          <w:p w:rsidR="00DD681B" w:rsidRPr="005A6870" w:rsidRDefault="00DD681B" w:rsidP="00176AF1">
            <w:r w:rsidRPr="003018F6">
              <w:t xml:space="preserve">By: </w:t>
            </w:r>
            <w:r w:rsidRPr="005A6870">
              <w:t xml:space="preserve">Lainey Feingold, </w:t>
            </w:r>
          </w:p>
          <w:p w:rsidR="00DD681B" w:rsidRPr="003018F6" w:rsidRDefault="00DD681B" w:rsidP="00176AF1">
            <w:r w:rsidRPr="005A6870">
              <w:t>Attorney for Claimant</w:t>
            </w:r>
          </w:p>
        </w:tc>
        <w:tc>
          <w:tcPr>
            <w:tcW w:w="2520" w:type="dxa"/>
            <w:tcBorders>
              <w:bottom w:val="single" w:sz="4" w:space="0" w:color="auto"/>
            </w:tcBorders>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Borders>
              <w:bottom w:val="single" w:sz="4" w:space="0" w:color="auto"/>
            </w:tcBorders>
          </w:tcPr>
          <w:p w:rsidR="00DD681B" w:rsidRDefault="00DD681B" w:rsidP="00176AF1">
            <w:pPr>
              <w:shd w:val="clear" w:color="auto" w:fill="auto"/>
            </w:pPr>
          </w:p>
        </w:tc>
      </w:tr>
      <w:tr w:rsidR="00DD681B" w:rsidTr="00DD681B">
        <w:tc>
          <w:tcPr>
            <w:tcW w:w="5130" w:type="dxa"/>
            <w:vAlign w:val="center"/>
          </w:tcPr>
          <w:p w:rsidR="00DD681B" w:rsidRPr="003018F6" w:rsidRDefault="00DD681B" w:rsidP="00176AF1"/>
        </w:tc>
        <w:tc>
          <w:tcPr>
            <w:tcW w:w="2520" w:type="dxa"/>
            <w:tcBorders>
              <w:top w:val="single" w:sz="4" w:space="0" w:color="auto"/>
            </w:tcBorders>
            <w:vAlign w:val="center"/>
          </w:tcPr>
          <w:p w:rsidR="00DD681B" w:rsidRDefault="00DD681B" w:rsidP="00176AF1">
            <w:pPr>
              <w:shd w:val="clear" w:color="auto" w:fill="auto"/>
            </w:pPr>
          </w:p>
        </w:tc>
        <w:tc>
          <w:tcPr>
            <w:tcW w:w="360" w:type="dxa"/>
          </w:tcPr>
          <w:p w:rsidR="00DD681B" w:rsidRDefault="00DD681B" w:rsidP="00176AF1">
            <w:pPr>
              <w:shd w:val="clear" w:color="auto" w:fill="auto"/>
            </w:pPr>
          </w:p>
        </w:tc>
        <w:tc>
          <w:tcPr>
            <w:tcW w:w="1800" w:type="dxa"/>
            <w:tcBorders>
              <w:top w:val="single" w:sz="4" w:space="0" w:color="auto"/>
            </w:tcBorders>
          </w:tcPr>
          <w:p w:rsidR="00DD681B" w:rsidRDefault="00DD681B" w:rsidP="00176AF1">
            <w:pPr>
              <w:shd w:val="clear" w:color="auto" w:fill="auto"/>
            </w:pPr>
            <w:r>
              <w:t>Date</w:t>
            </w:r>
          </w:p>
        </w:tc>
      </w:tr>
    </w:tbl>
    <w:p w:rsidR="00CA3DF9" w:rsidRDefault="00CA3DF9" w:rsidP="00612CBE">
      <w:bookmarkStart w:id="2" w:name="_GoBack"/>
      <w:bookmarkEnd w:id="2"/>
    </w:p>
    <w:sectPr w:rsidR="00CA3DF9" w:rsidSect="006802BC">
      <w:headerReference w:type="default" r:id="rId11"/>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CB" w:rsidRDefault="00B476CB" w:rsidP="00A100AF">
      <w:r>
        <w:separator/>
      </w:r>
    </w:p>
  </w:endnote>
  <w:endnote w:type="continuationSeparator" w:id="0">
    <w:p w:rsidR="00B476CB" w:rsidRDefault="00B476CB" w:rsidP="00A1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CB" w:rsidRDefault="00B476CB" w:rsidP="00A100AF">
      <w:r>
        <w:separator/>
      </w:r>
    </w:p>
  </w:footnote>
  <w:footnote w:type="continuationSeparator" w:id="0">
    <w:p w:rsidR="00B476CB" w:rsidRDefault="00B476CB" w:rsidP="00A1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408" w:rsidRDefault="002C4408">
    <w:pPr>
      <w:pStyle w:val="Header"/>
    </w:pPr>
    <w:r>
      <w:t>SETTLEMENT AGREEMENT AND RELEASE OF CLAIMS</w:t>
    </w:r>
  </w:p>
  <w:p w:rsidR="002C4408" w:rsidRDefault="00820257">
    <w:pPr>
      <w:pStyle w:val="Header"/>
    </w:pPr>
    <w:r>
      <w:t>August 30</w:t>
    </w:r>
    <w:r w:rsidR="005C2041">
      <w:t>, 2016</w:t>
    </w:r>
  </w:p>
  <w:p w:rsidR="002C4408" w:rsidRDefault="002C4408">
    <w:pPr>
      <w:pStyle w:val="Header"/>
      <w:rPr>
        <w:bCs/>
      </w:rPr>
    </w:pPr>
    <w:r>
      <w:t xml:space="preserve">Page </w:t>
    </w:r>
    <w:r w:rsidR="005E5BD2" w:rsidRPr="007727E4">
      <w:rPr>
        <w:bCs/>
      </w:rPr>
      <w:fldChar w:fldCharType="begin"/>
    </w:r>
    <w:r w:rsidRPr="007727E4">
      <w:rPr>
        <w:bCs/>
      </w:rPr>
      <w:instrText xml:space="preserve"> PAGE  \* Arabic  \* MERGEFORMAT </w:instrText>
    </w:r>
    <w:r w:rsidR="005E5BD2" w:rsidRPr="007727E4">
      <w:rPr>
        <w:bCs/>
      </w:rPr>
      <w:fldChar w:fldCharType="separate"/>
    </w:r>
    <w:r w:rsidR="00612CBE">
      <w:rPr>
        <w:bCs/>
        <w:noProof/>
      </w:rPr>
      <w:t>12</w:t>
    </w:r>
    <w:r w:rsidR="005E5BD2" w:rsidRPr="007727E4">
      <w:rPr>
        <w:bCs/>
      </w:rPr>
      <w:fldChar w:fldCharType="end"/>
    </w:r>
    <w:r>
      <w:t xml:space="preserve"> of </w:t>
    </w:r>
    <w:fldSimple w:instr=" NUMPAGES  \* Arabic  \* MERGEFORMAT ">
      <w:r w:rsidR="00612CBE" w:rsidRPr="00612CBE">
        <w:rPr>
          <w:bCs/>
          <w:noProof/>
        </w:rPr>
        <w:t>13</w:t>
      </w:r>
    </w:fldSimple>
  </w:p>
  <w:p w:rsidR="002C4408" w:rsidRDefault="002C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7EB7"/>
    <w:multiLevelType w:val="multilevel"/>
    <w:tmpl w:val="E3665F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9E7BC3"/>
    <w:multiLevelType w:val="hybridMultilevel"/>
    <w:tmpl w:val="0ABE5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06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413973"/>
    <w:multiLevelType w:val="hybridMultilevel"/>
    <w:tmpl w:val="7D187AE2"/>
    <w:lvl w:ilvl="0" w:tplc="96CEE6A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0277F1"/>
    <w:multiLevelType w:val="hybridMultilevel"/>
    <w:tmpl w:val="19C4CCF0"/>
    <w:lvl w:ilvl="0" w:tplc="9E54AE52">
      <w:start w:val="1"/>
      <w:numFmt w:val="lowerLetter"/>
      <w:pStyle w:val="Heading2"/>
      <w:lvlText w:val="%1."/>
      <w:lvlJc w:val="left"/>
      <w:pPr>
        <w:tabs>
          <w:tab w:val="num" w:pos="1440"/>
        </w:tabs>
        <w:ind w:left="1440" w:hanging="720"/>
      </w:pPr>
      <w:rPr>
        <w:rFonts w:ascii="Arial" w:hAnsi="Arial" w:cs="Arial" w:hint="default"/>
        <w:b w:val="0"/>
        <w:bCs w:val="0"/>
        <w:i w:val="0"/>
        <w:iCs w:val="0"/>
        <w:caps w:val="0"/>
        <w:smallCaps w:val="0"/>
        <w:strike w:val="0"/>
        <w:dstrike w:val="0"/>
        <w:noProof w:val="0"/>
        <w:vanish w:val="0"/>
        <w:color w:val="auto"/>
        <w:kern w:val="0"/>
        <w:position w:val="0"/>
        <w:sz w:val="28"/>
        <w:szCs w:val="28"/>
        <w:u w:val="none"/>
        <w:effect w:val="none"/>
        <w:vertAlign w:val="baseline"/>
        <w:em w:val="none"/>
        <w:specVanish w:val="0"/>
      </w:rPr>
    </w:lvl>
    <w:lvl w:ilvl="1" w:tplc="0409001B">
      <w:start w:val="1"/>
      <w:numFmt w:val="lowerRoman"/>
      <w:lvlText w:val="%2."/>
      <w:lvlJc w:val="right"/>
      <w:pPr>
        <w:ind w:left="2160" w:hanging="360"/>
      </w:pPr>
      <w:rPr>
        <w:rFonts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676DDC"/>
    <w:multiLevelType w:val="hybridMultilevel"/>
    <w:tmpl w:val="C47E979E"/>
    <w:lvl w:ilvl="0" w:tplc="C68A106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C54F9"/>
    <w:multiLevelType w:val="hybridMultilevel"/>
    <w:tmpl w:val="72E8B486"/>
    <w:lvl w:ilvl="0" w:tplc="2BFEF35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96CEE6A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7F639D1"/>
    <w:multiLevelType w:val="multilevel"/>
    <w:tmpl w:val="A78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268F5"/>
    <w:multiLevelType w:val="hybridMultilevel"/>
    <w:tmpl w:val="34CE3ED6"/>
    <w:lvl w:ilvl="0" w:tplc="4F469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E033A"/>
    <w:multiLevelType w:val="hybridMultilevel"/>
    <w:tmpl w:val="0C522A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4B244A"/>
    <w:multiLevelType w:val="hybridMultilevel"/>
    <w:tmpl w:val="70923296"/>
    <w:lvl w:ilvl="0" w:tplc="9B0A3BA8">
      <w:start w:val="1"/>
      <w:numFmt w:val="upperLetter"/>
      <w:lvlText w:val="%1."/>
      <w:lvlJc w:val="left"/>
      <w:pPr>
        <w:tabs>
          <w:tab w:val="num" w:pos="1080"/>
        </w:tabs>
        <w:ind w:left="1080" w:hanging="360"/>
      </w:pPr>
      <w:rPr>
        <w:rFonts w:hint="default"/>
      </w:rPr>
    </w:lvl>
    <w:lvl w:ilvl="1" w:tplc="A10849D0">
      <w:start w:val="1"/>
      <w:numFmt w:val="decimal"/>
      <w:lvlText w:val="%2."/>
      <w:lvlJc w:val="left"/>
      <w:pPr>
        <w:tabs>
          <w:tab w:val="num" w:pos="1800"/>
        </w:tabs>
        <w:ind w:left="1800" w:hanging="360"/>
      </w:pPr>
      <w:rPr>
        <w:rFonts w:hint="default"/>
      </w:rPr>
    </w:lvl>
    <w:lvl w:ilvl="2" w:tplc="BAE446B2">
      <w:start w:val="1"/>
      <w:numFmt w:val="lowerLetter"/>
      <w:lvlText w:val="%3."/>
      <w:lvlJc w:val="left"/>
      <w:pPr>
        <w:tabs>
          <w:tab w:val="num" w:pos="3285"/>
        </w:tabs>
        <w:ind w:left="3285" w:hanging="945"/>
      </w:pPr>
      <w:rPr>
        <w:rFonts w:hint="default"/>
      </w:rPr>
    </w:lvl>
    <w:lvl w:ilvl="3" w:tplc="0409001B">
      <w:start w:val="1"/>
      <w:numFmt w:val="lowerRoman"/>
      <w:lvlText w:val="%4."/>
      <w:lvlJc w:val="right"/>
      <w:pPr>
        <w:tabs>
          <w:tab w:val="num" w:pos="3825"/>
        </w:tabs>
        <w:ind w:left="3825" w:hanging="945"/>
      </w:pPr>
      <w:rPr>
        <w:rFonts w:hint="default"/>
      </w:r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4A01B50"/>
    <w:multiLevelType w:val="hybridMultilevel"/>
    <w:tmpl w:val="16CE6032"/>
    <w:lvl w:ilvl="0" w:tplc="D932DE28">
      <w:start w:val="5"/>
      <w:numFmt w:val="lowerLetter"/>
      <w:lvlText w:val="%1."/>
      <w:lvlJc w:val="left"/>
      <w:pPr>
        <w:tabs>
          <w:tab w:val="num" w:pos="360"/>
        </w:tabs>
        <w:ind w:left="288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A0DD4"/>
    <w:multiLevelType w:val="hybridMultilevel"/>
    <w:tmpl w:val="CB146B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F1420"/>
    <w:multiLevelType w:val="multilevel"/>
    <w:tmpl w:val="290631A2"/>
    <w:lvl w:ilvl="0">
      <w:start w:val="9"/>
      <w:numFmt w:val="decimal"/>
      <w:lvlText w:val="%1"/>
      <w:lvlJc w:val="left"/>
      <w:pPr>
        <w:ind w:left="405" w:hanging="405"/>
      </w:pPr>
      <w:rPr>
        <w:rFonts w:hint="default"/>
      </w:rPr>
    </w:lvl>
    <w:lvl w:ilv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A7F470D"/>
    <w:multiLevelType w:val="multilevel"/>
    <w:tmpl w:val="C8447FA8"/>
    <w:lvl w:ilvl="0">
      <w:start w:val="1"/>
      <w:numFmt w:val="decimal"/>
      <w:lvlText w:val="%1."/>
      <w:lvlJc w:val="left"/>
      <w:pPr>
        <w:ind w:left="720" w:hanging="360"/>
      </w:pPr>
      <w:rPr>
        <w:rFonts w:hint="default"/>
        <w:b/>
        <w:color w:val="auto"/>
      </w:rPr>
    </w:lvl>
    <w:lvl w:ilvl="1">
      <w:start w:val="1"/>
      <w:numFmt w:val="lowerLetter"/>
      <w:lvlText w:val="%2."/>
      <w:lvlJc w:val="left"/>
      <w:pPr>
        <w:ind w:left="1185" w:hanging="825"/>
      </w:pPr>
      <w:rPr>
        <w:rFonts w:hint="default"/>
        <w:b w:val="0"/>
      </w:rPr>
    </w:lvl>
    <w:lvl w:ilvl="2">
      <w:start w:val="1"/>
      <w:numFmt w:val="lowerRoman"/>
      <w:lvlText w:val="%3."/>
      <w:lvlJc w:val="righ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5" w15:restartNumberingAfterBreak="0">
    <w:nsid w:val="3E3F2816"/>
    <w:multiLevelType w:val="hybridMultilevel"/>
    <w:tmpl w:val="1BF2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303DA"/>
    <w:multiLevelType w:val="hybridMultilevel"/>
    <w:tmpl w:val="B3D47F58"/>
    <w:lvl w:ilvl="0" w:tplc="0160038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4505C1"/>
    <w:multiLevelType w:val="hybridMultilevel"/>
    <w:tmpl w:val="BB6A64FC"/>
    <w:lvl w:ilvl="0" w:tplc="73C00E80">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2CF1"/>
    <w:multiLevelType w:val="hybridMultilevel"/>
    <w:tmpl w:val="988A7A6A"/>
    <w:lvl w:ilvl="0" w:tplc="255A6F1E">
      <w:start w:val="4"/>
      <w:numFmt w:val="lowerLetter"/>
      <w:lvlText w:val="%1."/>
      <w:lvlJc w:val="left"/>
      <w:pPr>
        <w:tabs>
          <w:tab w:val="num" w:pos="1080"/>
        </w:tabs>
        <w:ind w:left="36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272B1"/>
    <w:multiLevelType w:val="multilevel"/>
    <w:tmpl w:val="6B1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A1C4A"/>
    <w:multiLevelType w:val="multilevel"/>
    <w:tmpl w:val="160AC9FE"/>
    <w:lvl w:ilvl="0">
      <w:start w:val="10"/>
      <w:numFmt w:val="decimal"/>
      <w:lvlText w:val="%1"/>
      <w:lvlJc w:val="left"/>
      <w:pPr>
        <w:ind w:left="570" w:hanging="57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82D083F"/>
    <w:multiLevelType w:val="hybridMultilevel"/>
    <w:tmpl w:val="BBFEA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613DA"/>
    <w:multiLevelType w:val="multilevel"/>
    <w:tmpl w:val="3C76D0BA"/>
    <w:lvl w:ilvl="0">
      <w:start w:val="1"/>
      <w:numFmt w:val="decimal"/>
      <w:pStyle w:val="Heading1"/>
      <w:lvlText w:val="%1."/>
      <w:lvlJc w:val="left"/>
      <w:pPr>
        <w:ind w:left="720" w:hanging="720"/>
      </w:pPr>
      <w:rPr>
        <w:rFonts w:hint="default"/>
        <w:b w:val="0"/>
        <w:color w:val="auto"/>
      </w:rPr>
    </w:lvl>
    <w:lvl w:ilvl="1">
      <w:start w:val="1"/>
      <w:numFmt w:val="lowerLetter"/>
      <w:lvlText w:val="%2."/>
      <w:lvlJc w:val="left"/>
      <w:pPr>
        <w:ind w:left="7755" w:hanging="825"/>
      </w:pPr>
      <w:rPr>
        <w:rFonts w:hint="default"/>
        <w:b w:val="0"/>
        <w:sz w:val="28"/>
        <w:szCs w:val="28"/>
      </w:rPr>
    </w:lvl>
    <w:lvl w:ilvl="2">
      <w:start w:val="1"/>
      <w:numFmt w:val="lowerRoman"/>
      <w:pStyle w:val="Heading3"/>
      <w:lvlText w:val="%3."/>
      <w:lvlJc w:val="right"/>
      <w:pPr>
        <w:tabs>
          <w:tab w:val="num" w:pos="1980"/>
        </w:tabs>
        <w:ind w:left="19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3" w15:restartNumberingAfterBreak="0">
    <w:nsid w:val="59B955D0"/>
    <w:multiLevelType w:val="hybridMultilevel"/>
    <w:tmpl w:val="C98A687C"/>
    <w:lvl w:ilvl="0" w:tplc="351CEA1A">
      <w:start w:val="3"/>
      <w:numFmt w:val="lowerLetter"/>
      <w:lvlText w:val="%1."/>
      <w:lvlJc w:val="left"/>
      <w:pPr>
        <w:tabs>
          <w:tab w:val="num" w:pos="0"/>
        </w:tabs>
        <w:ind w:left="2520" w:hanging="360"/>
      </w:pPr>
      <w:rPr>
        <w:rFonts w:cs="Times New Roman"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4" w15:restartNumberingAfterBreak="0">
    <w:nsid w:val="5AA658CE"/>
    <w:multiLevelType w:val="multilevel"/>
    <w:tmpl w:val="378E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D3ABB"/>
    <w:multiLevelType w:val="hybridMultilevel"/>
    <w:tmpl w:val="44CE06D2"/>
    <w:lvl w:ilvl="0" w:tplc="3D3ED27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6" w15:restartNumberingAfterBreak="0">
    <w:nsid w:val="5ED60A06"/>
    <w:multiLevelType w:val="hybridMultilevel"/>
    <w:tmpl w:val="4DCAAE16"/>
    <w:lvl w:ilvl="0" w:tplc="7F846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115578"/>
    <w:multiLevelType w:val="hybridMultilevel"/>
    <w:tmpl w:val="696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F4758"/>
    <w:multiLevelType w:val="hybridMultilevel"/>
    <w:tmpl w:val="17B4C0A0"/>
    <w:lvl w:ilvl="0" w:tplc="2BD84E6E">
      <w:start w:val="1"/>
      <w:numFmt w:val="decimal"/>
      <w:lvlText w:val="%1."/>
      <w:lvlJc w:val="left"/>
      <w:pPr>
        <w:tabs>
          <w:tab w:val="num" w:pos="1800"/>
        </w:tabs>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A3687"/>
    <w:multiLevelType w:val="hybridMultilevel"/>
    <w:tmpl w:val="C032E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84D5B"/>
    <w:multiLevelType w:val="hybridMultilevel"/>
    <w:tmpl w:val="E3665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63A59"/>
    <w:multiLevelType w:val="hybridMultilevel"/>
    <w:tmpl w:val="3ECED8BE"/>
    <w:lvl w:ilvl="0" w:tplc="0409001B">
      <w:start w:val="1"/>
      <w:numFmt w:val="lowerRoman"/>
      <w:lvlText w:val="%1."/>
      <w:lvlJc w:val="righ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081908"/>
    <w:multiLevelType w:val="hybridMultilevel"/>
    <w:tmpl w:val="20B40C6A"/>
    <w:lvl w:ilvl="0" w:tplc="96CEE6A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290661"/>
    <w:multiLevelType w:val="hybridMultilevel"/>
    <w:tmpl w:val="D764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301AA"/>
    <w:multiLevelType w:val="hybridMultilevel"/>
    <w:tmpl w:val="1BE45C44"/>
    <w:lvl w:ilvl="0" w:tplc="04090019">
      <w:start w:val="1"/>
      <w:numFmt w:val="lowerLetter"/>
      <w:lvlText w:val="%1."/>
      <w:lvlJc w:val="left"/>
      <w:pPr>
        <w:ind w:left="720" w:hanging="360"/>
      </w:pPr>
      <w:rPr>
        <w:rFonts w:hint="default"/>
      </w:rPr>
    </w:lvl>
    <w:lvl w:ilvl="1" w:tplc="1A64B3C0">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9"/>
  </w:num>
  <w:num w:numId="4">
    <w:abstractNumId w:val="34"/>
  </w:num>
  <w:num w:numId="5">
    <w:abstractNumId w:val="9"/>
  </w:num>
  <w:num w:numId="6">
    <w:abstractNumId w:val="15"/>
  </w:num>
  <w:num w:numId="7">
    <w:abstractNumId w:val="27"/>
  </w:num>
  <w:num w:numId="8">
    <w:abstractNumId w:val="8"/>
  </w:num>
  <w:num w:numId="9">
    <w:abstractNumId w:val="29"/>
  </w:num>
  <w:num w:numId="10">
    <w:abstractNumId w:val="17"/>
  </w:num>
  <w:num w:numId="11">
    <w:abstractNumId w:val="22"/>
  </w:num>
  <w:num w:numId="12">
    <w:abstractNumId w:val="13"/>
  </w:num>
  <w:num w:numId="13">
    <w:abstractNumId w:val="1"/>
  </w:num>
  <w:num w:numId="14">
    <w:abstractNumId w:val="30"/>
  </w:num>
  <w:num w:numId="15">
    <w:abstractNumId w:val="0"/>
  </w:num>
  <w:num w:numId="16">
    <w:abstractNumId w:val="20"/>
  </w:num>
  <w:num w:numId="17">
    <w:abstractNumId w:val="21"/>
  </w:num>
  <w:num w:numId="18">
    <w:abstractNumId w:val="33"/>
  </w:num>
  <w:num w:numId="19">
    <w:abstractNumId w:val="2"/>
  </w:num>
  <w:num w:numId="20">
    <w:abstractNumId w:val="16"/>
  </w:num>
  <w:num w:numId="21">
    <w:abstractNumId w:val="31"/>
  </w:num>
  <w:num w:numId="22">
    <w:abstractNumId w:val="14"/>
  </w:num>
  <w:num w:numId="23">
    <w:abstractNumId w:val="5"/>
  </w:num>
  <w:num w:numId="24">
    <w:abstractNumId w:val="12"/>
  </w:num>
  <w:num w:numId="25">
    <w:abstractNumId w:val="34"/>
    <w:lvlOverride w:ilvl="0">
      <w:startOverride w:val="1"/>
    </w:lvlOverride>
  </w:num>
  <w:num w:numId="26">
    <w:abstractNumId w:val="34"/>
    <w:lvlOverride w:ilvl="0">
      <w:startOverride w:val="1"/>
    </w:lvlOverride>
  </w:num>
  <w:num w:numId="27">
    <w:abstractNumId w:val="4"/>
  </w:num>
  <w:num w:numId="28">
    <w:abstractNumId w:val="4"/>
    <w:lvlOverride w:ilvl="0">
      <w:startOverride w:val="1"/>
    </w:lvlOverride>
  </w:num>
  <w:num w:numId="29">
    <w:abstractNumId w:val="4"/>
    <w:lvlOverride w:ilvl="0">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26"/>
  </w:num>
  <w:num w:numId="39">
    <w:abstractNumId w:val="10"/>
  </w:num>
  <w:num w:numId="40">
    <w:abstractNumId w:val="28"/>
  </w:num>
  <w:num w:numId="41">
    <w:abstractNumId w:val="6"/>
  </w:num>
  <w:num w:numId="42">
    <w:abstractNumId w:val="25"/>
  </w:num>
  <w:num w:numId="43">
    <w:abstractNumId w:val="23"/>
  </w:num>
  <w:num w:numId="44">
    <w:abstractNumId w:val="18"/>
  </w:num>
  <w:num w:numId="45">
    <w:abstractNumId w:val="11"/>
  </w:num>
  <w:num w:numId="46">
    <w:abstractNumId w:val="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84"/>
    <w:rsid w:val="000009BB"/>
    <w:rsid w:val="000013F5"/>
    <w:rsid w:val="000015E2"/>
    <w:rsid w:val="0001320F"/>
    <w:rsid w:val="00014744"/>
    <w:rsid w:val="000321F6"/>
    <w:rsid w:val="00051069"/>
    <w:rsid w:val="0005396B"/>
    <w:rsid w:val="00056CF4"/>
    <w:rsid w:val="0006069D"/>
    <w:rsid w:val="00060FB9"/>
    <w:rsid w:val="000763D7"/>
    <w:rsid w:val="00077FBA"/>
    <w:rsid w:val="000857D2"/>
    <w:rsid w:val="000910C3"/>
    <w:rsid w:val="000960BC"/>
    <w:rsid w:val="00096CDE"/>
    <w:rsid w:val="00097D4A"/>
    <w:rsid w:val="000A0F21"/>
    <w:rsid w:val="000B0BC0"/>
    <w:rsid w:val="000B0FA8"/>
    <w:rsid w:val="000B1338"/>
    <w:rsid w:val="000B310C"/>
    <w:rsid w:val="000B3BD8"/>
    <w:rsid w:val="000C23A9"/>
    <w:rsid w:val="000E315E"/>
    <w:rsid w:val="000F26E7"/>
    <w:rsid w:val="000F3391"/>
    <w:rsid w:val="000F51BD"/>
    <w:rsid w:val="00104B97"/>
    <w:rsid w:val="00113E76"/>
    <w:rsid w:val="001157E7"/>
    <w:rsid w:val="00115A27"/>
    <w:rsid w:val="00115B2C"/>
    <w:rsid w:val="00115CB6"/>
    <w:rsid w:val="001209CB"/>
    <w:rsid w:val="0012202B"/>
    <w:rsid w:val="0012590A"/>
    <w:rsid w:val="001302CD"/>
    <w:rsid w:val="00150F0B"/>
    <w:rsid w:val="00150F9C"/>
    <w:rsid w:val="001573C4"/>
    <w:rsid w:val="00175E8D"/>
    <w:rsid w:val="00181A1C"/>
    <w:rsid w:val="001829EA"/>
    <w:rsid w:val="001A371C"/>
    <w:rsid w:val="001C3C54"/>
    <w:rsid w:val="001D13E5"/>
    <w:rsid w:val="001D654F"/>
    <w:rsid w:val="001E5668"/>
    <w:rsid w:val="001F5F28"/>
    <w:rsid w:val="002107C4"/>
    <w:rsid w:val="00220EB9"/>
    <w:rsid w:val="00223D9B"/>
    <w:rsid w:val="00232EF3"/>
    <w:rsid w:val="00237E80"/>
    <w:rsid w:val="00243962"/>
    <w:rsid w:val="00250F47"/>
    <w:rsid w:val="00254D5C"/>
    <w:rsid w:val="002711D9"/>
    <w:rsid w:val="00272FA3"/>
    <w:rsid w:val="00285319"/>
    <w:rsid w:val="00290F12"/>
    <w:rsid w:val="00292EA2"/>
    <w:rsid w:val="002A46AC"/>
    <w:rsid w:val="002B00F4"/>
    <w:rsid w:val="002B2737"/>
    <w:rsid w:val="002C1B12"/>
    <w:rsid w:val="002C4408"/>
    <w:rsid w:val="002D2C9F"/>
    <w:rsid w:val="002F0AE3"/>
    <w:rsid w:val="003018F6"/>
    <w:rsid w:val="00311492"/>
    <w:rsid w:val="0033654A"/>
    <w:rsid w:val="00340871"/>
    <w:rsid w:val="00355F68"/>
    <w:rsid w:val="00357481"/>
    <w:rsid w:val="003620D7"/>
    <w:rsid w:val="00370D26"/>
    <w:rsid w:val="003715EA"/>
    <w:rsid w:val="003728A6"/>
    <w:rsid w:val="003834C7"/>
    <w:rsid w:val="00385BAD"/>
    <w:rsid w:val="003945EB"/>
    <w:rsid w:val="003967CA"/>
    <w:rsid w:val="003A0475"/>
    <w:rsid w:val="003A6BA7"/>
    <w:rsid w:val="003B4892"/>
    <w:rsid w:val="003B786B"/>
    <w:rsid w:val="003B7EDC"/>
    <w:rsid w:val="003B7FB6"/>
    <w:rsid w:val="003C1BBD"/>
    <w:rsid w:val="003D3306"/>
    <w:rsid w:val="003D633A"/>
    <w:rsid w:val="003E0656"/>
    <w:rsid w:val="003E2366"/>
    <w:rsid w:val="00400507"/>
    <w:rsid w:val="0042307F"/>
    <w:rsid w:val="00423966"/>
    <w:rsid w:val="00424A15"/>
    <w:rsid w:val="00432273"/>
    <w:rsid w:val="0043387E"/>
    <w:rsid w:val="004370D9"/>
    <w:rsid w:val="0044007B"/>
    <w:rsid w:val="00441088"/>
    <w:rsid w:val="004436E4"/>
    <w:rsid w:val="00453B2A"/>
    <w:rsid w:val="00481168"/>
    <w:rsid w:val="00485308"/>
    <w:rsid w:val="004872A3"/>
    <w:rsid w:val="004974C4"/>
    <w:rsid w:val="004A2A83"/>
    <w:rsid w:val="004A4605"/>
    <w:rsid w:val="004A5FF4"/>
    <w:rsid w:val="004B18CB"/>
    <w:rsid w:val="004C2349"/>
    <w:rsid w:val="004C3F55"/>
    <w:rsid w:val="004D0D7D"/>
    <w:rsid w:val="004D3209"/>
    <w:rsid w:val="004D37B9"/>
    <w:rsid w:val="004D6628"/>
    <w:rsid w:val="004E3B89"/>
    <w:rsid w:val="004E6ABE"/>
    <w:rsid w:val="005051D8"/>
    <w:rsid w:val="00514BED"/>
    <w:rsid w:val="00517504"/>
    <w:rsid w:val="00537220"/>
    <w:rsid w:val="005377CB"/>
    <w:rsid w:val="00546130"/>
    <w:rsid w:val="00547DF0"/>
    <w:rsid w:val="00552B60"/>
    <w:rsid w:val="00556E88"/>
    <w:rsid w:val="0056279B"/>
    <w:rsid w:val="00570EDF"/>
    <w:rsid w:val="00573575"/>
    <w:rsid w:val="00573F34"/>
    <w:rsid w:val="005918EB"/>
    <w:rsid w:val="00591BB2"/>
    <w:rsid w:val="00592071"/>
    <w:rsid w:val="005A1988"/>
    <w:rsid w:val="005A5FA7"/>
    <w:rsid w:val="005A6870"/>
    <w:rsid w:val="005A701B"/>
    <w:rsid w:val="005B0A12"/>
    <w:rsid w:val="005B21A8"/>
    <w:rsid w:val="005C2041"/>
    <w:rsid w:val="005E5BD2"/>
    <w:rsid w:val="005E5F8F"/>
    <w:rsid w:val="005E7291"/>
    <w:rsid w:val="006020FC"/>
    <w:rsid w:val="00603925"/>
    <w:rsid w:val="00612CBE"/>
    <w:rsid w:val="006177B3"/>
    <w:rsid w:val="006357BF"/>
    <w:rsid w:val="00651088"/>
    <w:rsid w:val="00653FDC"/>
    <w:rsid w:val="006579EC"/>
    <w:rsid w:val="00661B41"/>
    <w:rsid w:val="00661CAC"/>
    <w:rsid w:val="00672FF2"/>
    <w:rsid w:val="006802BC"/>
    <w:rsid w:val="006834D9"/>
    <w:rsid w:val="00686B64"/>
    <w:rsid w:val="00695A8B"/>
    <w:rsid w:val="006A0DAB"/>
    <w:rsid w:val="006A1E66"/>
    <w:rsid w:val="006A5D8C"/>
    <w:rsid w:val="006B6D33"/>
    <w:rsid w:val="006C074B"/>
    <w:rsid w:val="006C0E89"/>
    <w:rsid w:val="006D02FF"/>
    <w:rsid w:val="006D1118"/>
    <w:rsid w:val="006D1E47"/>
    <w:rsid w:val="006D2A2B"/>
    <w:rsid w:val="006D5A62"/>
    <w:rsid w:val="006F4D62"/>
    <w:rsid w:val="007067CD"/>
    <w:rsid w:val="00714F38"/>
    <w:rsid w:val="00725009"/>
    <w:rsid w:val="00753C20"/>
    <w:rsid w:val="007654C7"/>
    <w:rsid w:val="0077616A"/>
    <w:rsid w:val="00777295"/>
    <w:rsid w:val="00787575"/>
    <w:rsid w:val="007A26F3"/>
    <w:rsid w:val="007B168E"/>
    <w:rsid w:val="007C3005"/>
    <w:rsid w:val="007D1D6F"/>
    <w:rsid w:val="007D2198"/>
    <w:rsid w:val="007D2415"/>
    <w:rsid w:val="007E06F6"/>
    <w:rsid w:val="007E11B1"/>
    <w:rsid w:val="00804A3E"/>
    <w:rsid w:val="00820257"/>
    <w:rsid w:val="00824183"/>
    <w:rsid w:val="00831F95"/>
    <w:rsid w:val="00834F68"/>
    <w:rsid w:val="00837619"/>
    <w:rsid w:val="00844F4A"/>
    <w:rsid w:val="00852200"/>
    <w:rsid w:val="008548BF"/>
    <w:rsid w:val="008560B1"/>
    <w:rsid w:val="00862833"/>
    <w:rsid w:val="0086333F"/>
    <w:rsid w:val="008653F3"/>
    <w:rsid w:val="00870FFB"/>
    <w:rsid w:val="00883A8E"/>
    <w:rsid w:val="008A59C8"/>
    <w:rsid w:val="008A5ACB"/>
    <w:rsid w:val="008B1D6F"/>
    <w:rsid w:val="008B3E84"/>
    <w:rsid w:val="008C171E"/>
    <w:rsid w:val="008C24FE"/>
    <w:rsid w:val="008C2959"/>
    <w:rsid w:val="008C3030"/>
    <w:rsid w:val="008D2EE1"/>
    <w:rsid w:val="008D5354"/>
    <w:rsid w:val="008E0F27"/>
    <w:rsid w:val="008E33CE"/>
    <w:rsid w:val="008E38D1"/>
    <w:rsid w:val="00901810"/>
    <w:rsid w:val="00913392"/>
    <w:rsid w:val="00915257"/>
    <w:rsid w:val="00917D07"/>
    <w:rsid w:val="009215D4"/>
    <w:rsid w:val="00932A0C"/>
    <w:rsid w:val="00934B7C"/>
    <w:rsid w:val="009460CC"/>
    <w:rsid w:val="009464CE"/>
    <w:rsid w:val="00954601"/>
    <w:rsid w:val="00956A38"/>
    <w:rsid w:val="009752BF"/>
    <w:rsid w:val="009964D7"/>
    <w:rsid w:val="009C26B6"/>
    <w:rsid w:val="009C7F9B"/>
    <w:rsid w:val="009D17B7"/>
    <w:rsid w:val="009D6EA2"/>
    <w:rsid w:val="009E6302"/>
    <w:rsid w:val="009F45FE"/>
    <w:rsid w:val="00A100AF"/>
    <w:rsid w:val="00A13931"/>
    <w:rsid w:val="00A200E7"/>
    <w:rsid w:val="00A24E55"/>
    <w:rsid w:val="00A30172"/>
    <w:rsid w:val="00A451CA"/>
    <w:rsid w:val="00A45B17"/>
    <w:rsid w:val="00A45FC2"/>
    <w:rsid w:val="00A51052"/>
    <w:rsid w:val="00A76CE6"/>
    <w:rsid w:val="00A930DC"/>
    <w:rsid w:val="00A96D1F"/>
    <w:rsid w:val="00AA1588"/>
    <w:rsid w:val="00AA47C8"/>
    <w:rsid w:val="00AB1BB4"/>
    <w:rsid w:val="00AC502B"/>
    <w:rsid w:val="00AC668D"/>
    <w:rsid w:val="00AC68B0"/>
    <w:rsid w:val="00AC7A25"/>
    <w:rsid w:val="00AC7DD2"/>
    <w:rsid w:val="00AE00A6"/>
    <w:rsid w:val="00AE1AF7"/>
    <w:rsid w:val="00AE3D79"/>
    <w:rsid w:val="00AF0B88"/>
    <w:rsid w:val="00AF3CB1"/>
    <w:rsid w:val="00AF7529"/>
    <w:rsid w:val="00B054CE"/>
    <w:rsid w:val="00B25F48"/>
    <w:rsid w:val="00B34A70"/>
    <w:rsid w:val="00B34AAE"/>
    <w:rsid w:val="00B36D22"/>
    <w:rsid w:val="00B404CC"/>
    <w:rsid w:val="00B476CB"/>
    <w:rsid w:val="00B55487"/>
    <w:rsid w:val="00B72B41"/>
    <w:rsid w:val="00B8566F"/>
    <w:rsid w:val="00B8590A"/>
    <w:rsid w:val="00B8720B"/>
    <w:rsid w:val="00B87C66"/>
    <w:rsid w:val="00BA023E"/>
    <w:rsid w:val="00BA131C"/>
    <w:rsid w:val="00BC7594"/>
    <w:rsid w:val="00BD21B8"/>
    <w:rsid w:val="00BD4C61"/>
    <w:rsid w:val="00BE53A6"/>
    <w:rsid w:val="00BF08A4"/>
    <w:rsid w:val="00C02533"/>
    <w:rsid w:val="00C037F6"/>
    <w:rsid w:val="00C0629A"/>
    <w:rsid w:val="00C13243"/>
    <w:rsid w:val="00C16F34"/>
    <w:rsid w:val="00C22880"/>
    <w:rsid w:val="00C24752"/>
    <w:rsid w:val="00C323D4"/>
    <w:rsid w:val="00C32536"/>
    <w:rsid w:val="00C44333"/>
    <w:rsid w:val="00C61624"/>
    <w:rsid w:val="00C61CE1"/>
    <w:rsid w:val="00C61D99"/>
    <w:rsid w:val="00C72CF6"/>
    <w:rsid w:val="00C8225F"/>
    <w:rsid w:val="00C95F3F"/>
    <w:rsid w:val="00C97613"/>
    <w:rsid w:val="00CA1B89"/>
    <w:rsid w:val="00CA20C1"/>
    <w:rsid w:val="00CA3DF9"/>
    <w:rsid w:val="00CB27A4"/>
    <w:rsid w:val="00CB7AA8"/>
    <w:rsid w:val="00CC344C"/>
    <w:rsid w:val="00CD4944"/>
    <w:rsid w:val="00CF177C"/>
    <w:rsid w:val="00CF4FBC"/>
    <w:rsid w:val="00D000AF"/>
    <w:rsid w:val="00D05510"/>
    <w:rsid w:val="00D11E21"/>
    <w:rsid w:val="00D23030"/>
    <w:rsid w:val="00D31574"/>
    <w:rsid w:val="00D44C6C"/>
    <w:rsid w:val="00D452C4"/>
    <w:rsid w:val="00D45324"/>
    <w:rsid w:val="00D55BC3"/>
    <w:rsid w:val="00D56578"/>
    <w:rsid w:val="00D748CF"/>
    <w:rsid w:val="00D74957"/>
    <w:rsid w:val="00DA197F"/>
    <w:rsid w:val="00DA42E7"/>
    <w:rsid w:val="00DA4F64"/>
    <w:rsid w:val="00DA7F8B"/>
    <w:rsid w:val="00DB4235"/>
    <w:rsid w:val="00DC6E93"/>
    <w:rsid w:val="00DD2F7D"/>
    <w:rsid w:val="00DD4EA4"/>
    <w:rsid w:val="00DD681B"/>
    <w:rsid w:val="00DE04A6"/>
    <w:rsid w:val="00DF6DEC"/>
    <w:rsid w:val="00E05975"/>
    <w:rsid w:val="00E07F54"/>
    <w:rsid w:val="00E14234"/>
    <w:rsid w:val="00E1476C"/>
    <w:rsid w:val="00E176BD"/>
    <w:rsid w:val="00E22B36"/>
    <w:rsid w:val="00E423D4"/>
    <w:rsid w:val="00E45B7A"/>
    <w:rsid w:val="00E47976"/>
    <w:rsid w:val="00E6403D"/>
    <w:rsid w:val="00E64B0B"/>
    <w:rsid w:val="00E66429"/>
    <w:rsid w:val="00E76118"/>
    <w:rsid w:val="00E83C03"/>
    <w:rsid w:val="00E92407"/>
    <w:rsid w:val="00E94F6B"/>
    <w:rsid w:val="00EB22FA"/>
    <w:rsid w:val="00EB774C"/>
    <w:rsid w:val="00EC2BEF"/>
    <w:rsid w:val="00ED3180"/>
    <w:rsid w:val="00ED3FE6"/>
    <w:rsid w:val="00ED6AD1"/>
    <w:rsid w:val="00EE3AD3"/>
    <w:rsid w:val="00EE6168"/>
    <w:rsid w:val="00EF3DA1"/>
    <w:rsid w:val="00EF7B00"/>
    <w:rsid w:val="00F002BB"/>
    <w:rsid w:val="00F06DC8"/>
    <w:rsid w:val="00F1463C"/>
    <w:rsid w:val="00F14E9E"/>
    <w:rsid w:val="00F15294"/>
    <w:rsid w:val="00F226A0"/>
    <w:rsid w:val="00F2333D"/>
    <w:rsid w:val="00F31BCE"/>
    <w:rsid w:val="00F414FD"/>
    <w:rsid w:val="00F43BA8"/>
    <w:rsid w:val="00F5377B"/>
    <w:rsid w:val="00F64BE2"/>
    <w:rsid w:val="00F746E3"/>
    <w:rsid w:val="00F81B74"/>
    <w:rsid w:val="00FA1446"/>
    <w:rsid w:val="00FB484D"/>
    <w:rsid w:val="00FB58CA"/>
    <w:rsid w:val="00FB5E48"/>
    <w:rsid w:val="00FC5A64"/>
    <w:rsid w:val="00FE1AF5"/>
    <w:rsid w:val="00FE24F4"/>
    <w:rsid w:val="00FE3D36"/>
    <w:rsid w:val="00FF69E5"/>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08"/>
    <w:pPr>
      <w:shd w:val="clear" w:color="auto" w:fill="FFFFFF"/>
      <w:spacing w:after="0" w:line="240" w:lineRule="auto"/>
      <w:contextualSpacing/>
    </w:pPr>
    <w:rPr>
      <w:rFonts w:ascii="Arial" w:eastAsia="Times New Roman" w:hAnsi="Arial" w:cs="Arial"/>
      <w:spacing w:val="6"/>
      <w:sz w:val="28"/>
      <w:szCs w:val="28"/>
    </w:rPr>
  </w:style>
  <w:style w:type="paragraph" w:styleId="Heading1">
    <w:name w:val="heading 1"/>
    <w:basedOn w:val="ListParagraph"/>
    <w:next w:val="Normal"/>
    <w:link w:val="Heading1Char"/>
    <w:uiPriority w:val="9"/>
    <w:qFormat/>
    <w:rsid w:val="00AA1588"/>
    <w:pPr>
      <w:numPr>
        <w:numId w:val="11"/>
      </w:numPr>
      <w:outlineLvl w:val="0"/>
    </w:pPr>
  </w:style>
  <w:style w:type="paragraph" w:styleId="Heading2">
    <w:name w:val="heading 2"/>
    <w:basedOn w:val="ListParagraph"/>
    <w:next w:val="Normal"/>
    <w:link w:val="Heading2Char"/>
    <w:uiPriority w:val="9"/>
    <w:unhideWhenUsed/>
    <w:qFormat/>
    <w:rsid w:val="002C4408"/>
    <w:pPr>
      <w:numPr>
        <w:numId w:val="27"/>
      </w:numPr>
      <w:outlineLvl w:val="1"/>
    </w:pPr>
  </w:style>
  <w:style w:type="paragraph" w:styleId="Heading3">
    <w:name w:val="heading 3"/>
    <w:basedOn w:val="ListParagraph"/>
    <w:link w:val="Heading3Char"/>
    <w:uiPriority w:val="9"/>
    <w:qFormat/>
    <w:rsid w:val="00AA1588"/>
    <w:pPr>
      <w:numPr>
        <w:ilvl w:val="2"/>
        <w:numId w:val="11"/>
      </w:numPr>
      <w:tabs>
        <w:tab w:val="clear" w:pos="1980"/>
        <w:tab w:val="num" w:pos="2160"/>
      </w:tabs>
      <w:ind w:left="21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1588"/>
    <w:rPr>
      <w:rFonts w:ascii="Arial" w:eastAsia="Times New Roman" w:hAnsi="Arial" w:cs="Arial"/>
      <w:spacing w:val="6"/>
      <w:sz w:val="28"/>
      <w:szCs w:val="28"/>
      <w:shd w:val="clear" w:color="auto" w:fill="FFFFFF"/>
    </w:rPr>
  </w:style>
  <w:style w:type="paragraph" w:styleId="NormalWeb">
    <w:name w:val="Normal (Web)"/>
    <w:basedOn w:val="Normal"/>
    <w:uiPriority w:val="99"/>
    <w:semiHidden/>
    <w:unhideWhenUsed/>
    <w:rsid w:val="008B3E8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B3E84"/>
    <w:rPr>
      <w:b/>
      <w:bCs/>
    </w:rPr>
  </w:style>
  <w:style w:type="character" w:customStyle="1" w:styleId="apple-converted-space">
    <w:name w:val="apple-converted-space"/>
    <w:basedOn w:val="DefaultParagraphFont"/>
    <w:rsid w:val="008B3E84"/>
  </w:style>
  <w:style w:type="paragraph" w:styleId="ListParagraph">
    <w:name w:val="List Paragraph"/>
    <w:basedOn w:val="Normal"/>
    <w:uiPriority w:val="34"/>
    <w:qFormat/>
    <w:rsid w:val="004A4605"/>
    <w:pPr>
      <w:ind w:left="720"/>
    </w:pPr>
  </w:style>
  <w:style w:type="character" w:styleId="Hyperlink">
    <w:name w:val="Hyperlink"/>
    <w:basedOn w:val="DefaultParagraphFont"/>
    <w:uiPriority w:val="99"/>
    <w:unhideWhenUsed/>
    <w:rsid w:val="007067CD"/>
    <w:rPr>
      <w:color w:val="0563C1" w:themeColor="hyperlink"/>
      <w:u w:val="single"/>
    </w:rPr>
  </w:style>
  <w:style w:type="character" w:customStyle="1" w:styleId="hyperlinkchar">
    <w:name w:val="hyperlink__char"/>
    <w:basedOn w:val="DefaultParagraphFont"/>
    <w:rsid w:val="007067CD"/>
  </w:style>
  <w:style w:type="character" w:styleId="CommentReference">
    <w:name w:val="annotation reference"/>
    <w:basedOn w:val="DefaultParagraphFont"/>
    <w:uiPriority w:val="99"/>
    <w:semiHidden/>
    <w:unhideWhenUsed/>
    <w:rsid w:val="00573F34"/>
    <w:rPr>
      <w:sz w:val="18"/>
      <w:szCs w:val="18"/>
    </w:rPr>
  </w:style>
  <w:style w:type="paragraph" w:styleId="CommentText">
    <w:name w:val="annotation text"/>
    <w:basedOn w:val="Normal"/>
    <w:link w:val="CommentTextChar"/>
    <w:uiPriority w:val="99"/>
    <w:unhideWhenUsed/>
    <w:rsid w:val="00573F34"/>
    <w:rPr>
      <w:sz w:val="24"/>
      <w:szCs w:val="24"/>
    </w:rPr>
  </w:style>
  <w:style w:type="character" w:customStyle="1" w:styleId="CommentTextChar">
    <w:name w:val="Comment Text Char"/>
    <w:basedOn w:val="DefaultParagraphFont"/>
    <w:link w:val="CommentText"/>
    <w:uiPriority w:val="99"/>
    <w:rsid w:val="00573F34"/>
    <w:rPr>
      <w:sz w:val="24"/>
      <w:szCs w:val="24"/>
    </w:rPr>
  </w:style>
  <w:style w:type="paragraph" w:styleId="CommentSubject">
    <w:name w:val="annotation subject"/>
    <w:basedOn w:val="CommentText"/>
    <w:next w:val="CommentText"/>
    <w:link w:val="CommentSubjectChar"/>
    <w:uiPriority w:val="99"/>
    <w:semiHidden/>
    <w:unhideWhenUsed/>
    <w:rsid w:val="00573F34"/>
    <w:rPr>
      <w:b/>
      <w:bCs/>
      <w:sz w:val="20"/>
      <w:szCs w:val="20"/>
    </w:rPr>
  </w:style>
  <w:style w:type="character" w:customStyle="1" w:styleId="CommentSubjectChar">
    <w:name w:val="Comment Subject Char"/>
    <w:basedOn w:val="CommentTextChar"/>
    <w:link w:val="CommentSubject"/>
    <w:uiPriority w:val="99"/>
    <w:semiHidden/>
    <w:rsid w:val="00573F34"/>
    <w:rPr>
      <w:b/>
      <w:bCs/>
      <w:sz w:val="20"/>
      <w:szCs w:val="20"/>
    </w:rPr>
  </w:style>
  <w:style w:type="paragraph" w:styleId="BalloonText">
    <w:name w:val="Balloon Text"/>
    <w:basedOn w:val="Normal"/>
    <w:link w:val="BalloonTextChar"/>
    <w:uiPriority w:val="99"/>
    <w:semiHidden/>
    <w:unhideWhenUsed/>
    <w:rsid w:val="00573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F34"/>
    <w:rPr>
      <w:rFonts w:ascii="Lucida Grande" w:hAnsi="Lucida Grande" w:cs="Lucida Grande"/>
      <w:sz w:val="18"/>
      <w:szCs w:val="18"/>
    </w:rPr>
  </w:style>
  <w:style w:type="paragraph" w:styleId="Footer">
    <w:name w:val="footer"/>
    <w:basedOn w:val="Normal"/>
    <w:link w:val="FooterChar"/>
    <w:uiPriority w:val="99"/>
    <w:unhideWhenUsed/>
    <w:rsid w:val="004D3209"/>
    <w:pPr>
      <w:tabs>
        <w:tab w:val="center" w:pos="4320"/>
        <w:tab w:val="right" w:pos="8640"/>
      </w:tabs>
    </w:pPr>
  </w:style>
  <w:style w:type="character" w:customStyle="1" w:styleId="FooterChar">
    <w:name w:val="Footer Char"/>
    <w:basedOn w:val="DefaultParagraphFont"/>
    <w:link w:val="Footer"/>
    <w:uiPriority w:val="99"/>
    <w:rsid w:val="004D3209"/>
  </w:style>
  <w:style w:type="character" w:styleId="PageNumber">
    <w:name w:val="page number"/>
    <w:basedOn w:val="DefaultParagraphFont"/>
    <w:uiPriority w:val="99"/>
    <w:semiHidden/>
    <w:unhideWhenUsed/>
    <w:rsid w:val="004D3209"/>
  </w:style>
  <w:style w:type="paragraph" w:styleId="Header">
    <w:name w:val="header"/>
    <w:basedOn w:val="Normal"/>
    <w:link w:val="HeaderChar"/>
    <w:unhideWhenUsed/>
    <w:rsid w:val="007D2198"/>
    <w:pPr>
      <w:tabs>
        <w:tab w:val="center" w:pos="4680"/>
        <w:tab w:val="right" w:pos="9360"/>
      </w:tabs>
    </w:pPr>
  </w:style>
  <w:style w:type="character" w:customStyle="1" w:styleId="HeaderChar">
    <w:name w:val="Header Char"/>
    <w:basedOn w:val="DefaultParagraphFont"/>
    <w:link w:val="Header"/>
    <w:rsid w:val="007D2198"/>
  </w:style>
  <w:style w:type="paragraph" w:styleId="Title">
    <w:name w:val="Title"/>
    <w:basedOn w:val="Normal"/>
    <w:next w:val="Normal"/>
    <w:link w:val="TitleChar"/>
    <w:uiPriority w:val="10"/>
    <w:qFormat/>
    <w:rsid w:val="00A100AF"/>
    <w:pPr>
      <w:spacing w:before="225" w:after="225" w:line="339" w:lineRule="atLeast"/>
      <w:jc w:val="center"/>
    </w:pPr>
    <w:rPr>
      <w:b/>
      <w:u w:val="single"/>
    </w:rPr>
  </w:style>
  <w:style w:type="character" w:customStyle="1" w:styleId="TitleChar">
    <w:name w:val="Title Char"/>
    <w:basedOn w:val="DefaultParagraphFont"/>
    <w:link w:val="Title"/>
    <w:uiPriority w:val="10"/>
    <w:rsid w:val="00A100AF"/>
    <w:rPr>
      <w:rFonts w:ascii="Arial" w:eastAsia="Times New Roman" w:hAnsi="Arial" w:cs="Arial"/>
      <w:b/>
      <w:spacing w:val="6"/>
      <w:sz w:val="28"/>
      <w:szCs w:val="28"/>
      <w:u w:val="single"/>
      <w:shd w:val="clear" w:color="auto" w:fill="FFFFFF"/>
    </w:rPr>
  </w:style>
  <w:style w:type="character" w:customStyle="1" w:styleId="Heading1Char">
    <w:name w:val="Heading 1 Char"/>
    <w:basedOn w:val="DefaultParagraphFont"/>
    <w:link w:val="Heading1"/>
    <w:uiPriority w:val="9"/>
    <w:rsid w:val="00AA1588"/>
    <w:rPr>
      <w:rFonts w:ascii="Arial" w:eastAsia="Times New Roman" w:hAnsi="Arial" w:cs="Arial"/>
      <w:spacing w:val="6"/>
      <w:sz w:val="28"/>
      <w:szCs w:val="28"/>
      <w:shd w:val="clear" w:color="auto" w:fill="FFFFFF"/>
    </w:rPr>
  </w:style>
  <w:style w:type="character" w:customStyle="1" w:styleId="Heading2Char">
    <w:name w:val="Heading 2 Char"/>
    <w:basedOn w:val="DefaultParagraphFont"/>
    <w:link w:val="Heading2"/>
    <w:uiPriority w:val="9"/>
    <w:rsid w:val="002C4408"/>
    <w:rPr>
      <w:rFonts w:ascii="Arial" w:eastAsia="Times New Roman" w:hAnsi="Arial" w:cs="Arial"/>
      <w:spacing w:val="6"/>
      <w:sz w:val="28"/>
      <w:szCs w:val="28"/>
      <w:shd w:val="clear" w:color="auto" w:fill="FFFFFF"/>
    </w:rPr>
  </w:style>
  <w:style w:type="paragraph" w:styleId="Revision">
    <w:name w:val="Revision"/>
    <w:hidden/>
    <w:uiPriority w:val="99"/>
    <w:semiHidden/>
    <w:rsid w:val="006834D9"/>
    <w:pPr>
      <w:spacing w:after="0" w:line="240" w:lineRule="auto"/>
    </w:pPr>
    <w:rPr>
      <w:rFonts w:ascii="Arial" w:eastAsia="Times New Roman" w:hAnsi="Arial" w:cs="Arial"/>
      <w:spacing w:val="6"/>
      <w:sz w:val="28"/>
      <w:szCs w:val="28"/>
    </w:rPr>
  </w:style>
  <w:style w:type="table" w:styleId="TableGrid">
    <w:name w:val="Table Grid"/>
    <w:basedOn w:val="TableNormal"/>
    <w:uiPriority w:val="39"/>
    <w:rsid w:val="00CA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87430">
      <w:bodyDiv w:val="1"/>
      <w:marLeft w:val="0"/>
      <w:marRight w:val="0"/>
      <w:marTop w:val="0"/>
      <w:marBottom w:val="0"/>
      <w:divBdr>
        <w:top w:val="none" w:sz="0" w:space="0" w:color="auto"/>
        <w:left w:val="none" w:sz="0" w:space="0" w:color="auto"/>
        <w:bottom w:val="none" w:sz="0" w:space="0" w:color="auto"/>
        <w:right w:val="none" w:sz="0" w:space="0" w:color="auto"/>
      </w:divBdr>
    </w:div>
    <w:div w:id="794177631">
      <w:bodyDiv w:val="1"/>
      <w:marLeft w:val="0"/>
      <w:marRight w:val="0"/>
      <w:marTop w:val="0"/>
      <w:marBottom w:val="0"/>
      <w:divBdr>
        <w:top w:val="none" w:sz="0" w:space="0" w:color="auto"/>
        <w:left w:val="none" w:sz="0" w:space="0" w:color="auto"/>
        <w:bottom w:val="none" w:sz="0" w:space="0" w:color="auto"/>
        <w:right w:val="none" w:sz="0" w:space="0" w:color="auto"/>
      </w:divBdr>
    </w:div>
    <w:div w:id="804740977">
      <w:bodyDiv w:val="1"/>
      <w:marLeft w:val="0"/>
      <w:marRight w:val="0"/>
      <w:marTop w:val="0"/>
      <w:marBottom w:val="0"/>
      <w:divBdr>
        <w:top w:val="none" w:sz="0" w:space="0" w:color="auto"/>
        <w:left w:val="none" w:sz="0" w:space="0" w:color="auto"/>
        <w:bottom w:val="none" w:sz="0" w:space="0" w:color="auto"/>
        <w:right w:val="none" w:sz="0" w:space="0" w:color="auto"/>
      </w:divBdr>
    </w:div>
    <w:div w:id="10769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lasd.org/a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eriff.lacounty.gov/wps/portal/lasd" TargetMode="External"/><Relationship Id="rId4" Type="http://schemas.openxmlformats.org/officeDocument/2006/relationships/settings" Target="settings.xml"/><Relationship Id="rId9" Type="http://schemas.openxmlformats.org/officeDocument/2006/relationships/hyperlink" Target="http://www.visit.lasd.org/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06D60D-E6D4-4F81-A51E-1217DC68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FB9CFFC5</Template>
  <TotalTime>0</TotalTime>
  <Pages>13</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2016-08-30T19:21:00Z</dcterms:created>
  <dcterms:modified xsi:type="dcterms:W3CDTF">2016-08-30T19:24:00Z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rep_id">
    <vt:lpwstr>workspace://SpacesStore/047da19f-43ef-436e-970a-19c7b2295eb1</vt:lpwstr>
  </property>
</Properties>
</file>