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9BFC" w14:textId="32CB562B" w:rsidR="00EB6387" w:rsidRPr="005551BB" w:rsidRDefault="00621AC4" w:rsidP="00B947DB">
      <w:pPr>
        <w:jc w:val="center"/>
        <w:rPr>
          <w:rFonts w:ascii="Arial" w:hAnsi="Arial" w:cs="Arial"/>
          <w:b/>
          <w:bCs/>
          <w:sz w:val="38"/>
          <w:szCs w:val="38"/>
        </w:rPr>
      </w:pPr>
      <w:r>
        <w:fldChar w:fldCharType="begin"/>
      </w:r>
      <w:r>
        <w:instrText>HYPERLINK "https://leginfo.legislature.ca.gov/faces/billCompareClient.xhtml?bill_id=202120220SB188&amp;showamends=false"</w:instrText>
      </w:r>
      <w:r>
        <w:fldChar w:fldCharType="separate"/>
      </w:r>
      <w:r w:rsidR="005551BB" w:rsidRPr="00D60E4C">
        <w:rPr>
          <w:rStyle w:val="Hyperlink"/>
          <w:rFonts w:ascii="Arial" w:hAnsi="Arial" w:cs="Arial"/>
          <w:b/>
          <w:bCs/>
          <w:sz w:val="38"/>
          <w:szCs w:val="38"/>
        </w:rPr>
        <w:t xml:space="preserve">Senate </w:t>
      </w:r>
      <w:r w:rsidR="00B924F8" w:rsidRPr="00D60E4C">
        <w:rPr>
          <w:rStyle w:val="Hyperlink"/>
          <w:rFonts w:ascii="Arial" w:hAnsi="Arial" w:cs="Arial"/>
          <w:b/>
          <w:bCs/>
          <w:sz w:val="38"/>
          <w:szCs w:val="38"/>
        </w:rPr>
        <w:t>B</w:t>
      </w:r>
      <w:r w:rsidR="005551BB" w:rsidRPr="00D60E4C">
        <w:rPr>
          <w:rStyle w:val="Hyperlink"/>
          <w:rFonts w:ascii="Arial" w:hAnsi="Arial" w:cs="Arial"/>
          <w:b/>
          <w:bCs/>
          <w:sz w:val="38"/>
          <w:szCs w:val="38"/>
        </w:rPr>
        <w:t>ill</w:t>
      </w:r>
      <w:r w:rsidR="00B924F8" w:rsidRPr="00D60E4C">
        <w:rPr>
          <w:rStyle w:val="Hyperlink"/>
          <w:rFonts w:ascii="Arial" w:hAnsi="Arial" w:cs="Arial"/>
          <w:b/>
          <w:bCs/>
          <w:sz w:val="38"/>
          <w:szCs w:val="38"/>
        </w:rPr>
        <w:t xml:space="preserve"> 188</w:t>
      </w:r>
      <w:r w:rsidR="00CF43C3" w:rsidRPr="00D60E4C">
        <w:rPr>
          <w:rStyle w:val="Hyperlink"/>
          <w:rFonts w:ascii="Arial" w:hAnsi="Arial" w:cs="Arial"/>
          <w:b/>
          <w:bCs/>
          <w:sz w:val="38"/>
          <w:szCs w:val="38"/>
        </w:rPr>
        <w:t xml:space="preserve"> (2021-22)</w:t>
      </w:r>
      <w:r>
        <w:rPr>
          <w:rStyle w:val="Hyperlink"/>
          <w:rFonts w:ascii="Arial" w:hAnsi="Arial" w:cs="Arial"/>
          <w:b/>
          <w:bCs/>
          <w:sz w:val="38"/>
          <w:szCs w:val="38"/>
        </w:rPr>
        <w:fldChar w:fldCharType="end"/>
      </w:r>
      <w:r w:rsidR="00B924F8" w:rsidRPr="005551BB">
        <w:rPr>
          <w:rFonts w:ascii="Arial" w:hAnsi="Arial" w:cs="Arial"/>
          <w:b/>
          <w:bCs/>
          <w:sz w:val="38"/>
          <w:szCs w:val="38"/>
        </w:rPr>
        <w:t>: Develo</w:t>
      </w:r>
      <w:r w:rsidR="00EB6387" w:rsidRPr="005551BB">
        <w:rPr>
          <w:rFonts w:ascii="Arial" w:hAnsi="Arial" w:cs="Arial"/>
          <w:b/>
          <w:bCs/>
          <w:sz w:val="38"/>
          <w:szCs w:val="38"/>
        </w:rPr>
        <w:t>pmental Services Fair Hearing Reform</w:t>
      </w:r>
    </w:p>
    <w:p w14:paraId="7D38194D" w14:textId="77777777" w:rsidR="000744E8" w:rsidRPr="000744E8" w:rsidRDefault="000744E8" w:rsidP="00B947DB">
      <w:pPr>
        <w:jc w:val="center"/>
        <w:rPr>
          <w:rFonts w:ascii="Arial" w:hAnsi="Arial" w:cs="Arial"/>
          <w:b/>
          <w:bCs/>
          <w:sz w:val="2"/>
          <w:szCs w:val="2"/>
        </w:rPr>
      </w:pPr>
    </w:p>
    <w:tbl>
      <w:tblPr>
        <w:tblStyle w:val="TableGrid"/>
        <w:tblW w:w="14424" w:type="dxa"/>
        <w:jc w:val="center"/>
        <w:tblLook w:val="04A0" w:firstRow="1" w:lastRow="0" w:firstColumn="1" w:lastColumn="0" w:noHBand="0" w:noVBand="1"/>
      </w:tblPr>
      <w:tblGrid>
        <w:gridCol w:w="5845"/>
        <w:gridCol w:w="6120"/>
        <w:gridCol w:w="2459"/>
      </w:tblGrid>
      <w:tr w:rsidR="00E44DF8" w:rsidRPr="008A457F" w14:paraId="62EDF3E4" w14:textId="77777777" w:rsidTr="000744E8">
        <w:trPr>
          <w:trHeight w:val="350"/>
          <w:jc w:val="center"/>
        </w:trPr>
        <w:tc>
          <w:tcPr>
            <w:tcW w:w="14424" w:type="dxa"/>
            <w:gridSpan w:val="3"/>
            <w:shd w:val="clear" w:color="auto" w:fill="D0CECE" w:themeFill="background2" w:themeFillShade="E6"/>
          </w:tcPr>
          <w:p w14:paraId="4AB37DCD" w14:textId="2CE79DC7" w:rsidR="00E44DF8" w:rsidRPr="00957F7F" w:rsidRDefault="00E44DF8" w:rsidP="00B947DB">
            <w:pPr>
              <w:tabs>
                <w:tab w:val="left" w:pos="982"/>
              </w:tabs>
              <w:spacing w:before="120" w:after="120"/>
              <w:rPr>
                <w:rFonts w:ascii="Arial" w:hAnsi="Arial" w:cs="Arial"/>
                <w:b/>
                <w:sz w:val="28"/>
                <w:szCs w:val="28"/>
              </w:rPr>
            </w:pPr>
            <w:r>
              <w:rPr>
                <w:rFonts w:ascii="Arial" w:hAnsi="Arial" w:cs="Arial"/>
                <w:b/>
                <w:sz w:val="28"/>
                <w:szCs w:val="28"/>
              </w:rPr>
              <w:t xml:space="preserve">Fair Hearing Procedures </w:t>
            </w:r>
            <w:r w:rsidR="005551BB">
              <w:rPr>
                <w:rFonts w:ascii="Arial" w:hAnsi="Arial" w:cs="Arial"/>
                <w:b/>
                <w:sz w:val="28"/>
                <w:szCs w:val="28"/>
              </w:rPr>
              <w:t>–</w:t>
            </w:r>
            <w:r>
              <w:rPr>
                <w:rFonts w:ascii="Arial" w:hAnsi="Arial" w:cs="Arial"/>
                <w:b/>
                <w:sz w:val="28"/>
                <w:szCs w:val="28"/>
              </w:rPr>
              <w:t xml:space="preserve"> </w:t>
            </w:r>
            <w:r w:rsidR="005551BB">
              <w:rPr>
                <w:rFonts w:ascii="Arial" w:hAnsi="Arial" w:cs="Arial"/>
                <w:b/>
                <w:sz w:val="28"/>
                <w:szCs w:val="28"/>
              </w:rPr>
              <w:t>Attorney Representation</w:t>
            </w:r>
          </w:p>
        </w:tc>
      </w:tr>
      <w:tr w:rsidR="004417E3" w:rsidRPr="00957F7F" w14:paraId="4CEB2AC8" w14:textId="77777777" w:rsidTr="000744E8">
        <w:trPr>
          <w:trHeight w:val="350"/>
          <w:jc w:val="center"/>
        </w:trPr>
        <w:tc>
          <w:tcPr>
            <w:tcW w:w="5845" w:type="dxa"/>
          </w:tcPr>
          <w:p w14:paraId="12FA8F81" w14:textId="7D7C5951" w:rsidR="004417E3"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Current Law</w:t>
            </w:r>
          </w:p>
        </w:tc>
        <w:tc>
          <w:tcPr>
            <w:tcW w:w="6120" w:type="dxa"/>
          </w:tcPr>
          <w:p w14:paraId="244F51B2" w14:textId="77777777" w:rsidR="004417E3" w:rsidRDefault="004417E3" w:rsidP="00B947DB">
            <w:pPr>
              <w:autoSpaceDE w:val="0"/>
              <w:autoSpaceDN w:val="0"/>
              <w:adjustRightInd w:val="0"/>
              <w:spacing w:before="120" w:after="120"/>
              <w:rPr>
                <w:rFonts w:ascii="Arial" w:hAnsi="Arial" w:cs="Arial"/>
                <w:b/>
                <w:bCs/>
                <w:color w:val="000000"/>
                <w:sz w:val="28"/>
                <w:szCs w:val="28"/>
              </w:rPr>
            </w:pPr>
            <w:r w:rsidRPr="004417E3">
              <w:rPr>
                <w:rFonts w:ascii="Arial" w:hAnsi="Arial" w:cs="Arial"/>
                <w:b/>
                <w:bCs/>
                <w:color w:val="000000"/>
                <w:sz w:val="28"/>
                <w:szCs w:val="28"/>
              </w:rPr>
              <w:t>New Law</w:t>
            </w:r>
          </w:p>
          <w:p w14:paraId="31600694" w14:textId="3CCD1FF2" w:rsidR="004609AA" w:rsidRPr="004417E3" w:rsidRDefault="004609AA" w:rsidP="00B947DB">
            <w:pPr>
              <w:autoSpaceDE w:val="0"/>
              <w:autoSpaceDN w:val="0"/>
              <w:adjustRightInd w:val="0"/>
              <w:spacing w:before="120" w:after="120"/>
              <w:rPr>
                <w:rFonts w:ascii="Arial" w:hAnsi="Arial" w:cs="Arial"/>
                <w:bCs/>
                <w:color w:val="000000"/>
                <w:sz w:val="28"/>
                <w:szCs w:val="28"/>
              </w:rPr>
            </w:pPr>
          </w:p>
        </w:tc>
        <w:tc>
          <w:tcPr>
            <w:tcW w:w="2459" w:type="dxa"/>
          </w:tcPr>
          <w:p w14:paraId="4BE936E1" w14:textId="698A8D56" w:rsidR="004417E3" w:rsidRDefault="004417E3" w:rsidP="00B947DB">
            <w:pPr>
              <w:autoSpaceDE w:val="0"/>
              <w:autoSpaceDN w:val="0"/>
              <w:adjustRightInd w:val="0"/>
              <w:spacing w:before="120" w:after="120"/>
              <w:rPr>
                <w:rFonts w:ascii="Arial" w:hAnsi="Arial" w:cs="Arial"/>
                <w:color w:val="000000"/>
                <w:sz w:val="28"/>
                <w:szCs w:val="28"/>
              </w:rPr>
            </w:pPr>
            <w:r w:rsidRPr="00957F7F">
              <w:rPr>
                <w:rFonts w:ascii="Arial" w:hAnsi="Arial" w:cs="Arial"/>
                <w:b/>
                <w:bCs/>
                <w:color w:val="000000"/>
                <w:sz w:val="28"/>
                <w:szCs w:val="28"/>
              </w:rPr>
              <w:t>Effective Date</w:t>
            </w:r>
          </w:p>
        </w:tc>
      </w:tr>
      <w:tr w:rsidR="004417E3" w:rsidRPr="00957F7F" w14:paraId="78843342" w14:textId="77777777" w:rsidTr="000744E8">
        <w:trPr>
          <w:trHeight w:val="350"/>
          <w:jc w:val="center"/>
        </w:trPr>
        <w:tc>
          <w:tcPr>
            <w:tcW w:w="5845" w:type="dxa"/>
          </w:tcPr>
          <w:p w14:paraId="49C2E381" w14:textId="330FC4C0" w:rsidR="004417E3" w:rsidRDefault="004417E3" w:rsidP="00B947DB">
            <w:pPr>
              <w:spacing w:before="120" w:after="120"/>
              <w:rPr>
                <w:rFonts w:ascii="Arial" w:eastAsia="+mn-ea" w:hAnsi="Arial" w:cs="Arial"/>
                <w:b/>
                <w:iCs/>
                <w:color w:val="000000" w:themeColor="text1"/>
                <w:kern w:val="24"/>
                <w:sz w:val="28"/>
                <w:szCs w:val="28"/>
              </w:rPr>
            </w:pPr>
            <w:r>
              <w:rPr>
                <w:rFonts w:ascii="Arial" w:eastAsia="+mn-ea" w:hAnsi="Arial" w:cs="Arial"/>
                <w:b/>
                <w:iCs/>
                <w:color w:val="000000" w:themeColor="text1"/>
                <w:kern w:val="24"/>
                <w:sz w:val="28"/>
                <w:szCs w:val="28"/>
              </w:rPr>
              <w:t>All Parties Have the Right to Attorney Representation During Any Part of the Hearing Process</w:t>
            </w:r>
          </w:p>
          <w:p w14:paraId="19FF0925" w14:textId="51E21963" w:rsidR="004417E3" w:rsidRPr="00DD397D" w:rsidRDefault="004417E3" w:rsidP="00B947DB">
            <w:pPr>
              <w:spacing w:before="120" w:after="120"/>
              <w:rPr>
                <w:rFonts w:ascii="Arial" w:eastAsia="+mn-ea" w:hAnsi="Arial" w:cs="Arial"/>
                <w:i/>
                <w:iCs/>
                <w:color w:val="000000" w:themeColor="text1"/>
                <w:kern w:val="24"/>
                <w:sz w:val="28"/>
                <w:szCs w:val="28"/>
              </w:rPr>
            </w:pPr>
            <w:r w:rsidRPr="00957F7F">
              <w:rPr>
                <w:rFonts w:ascii="Arial" w:eastAsia="+mn-ea" w:hAnsi="Arial" w:cs="Arial"/>
                <w:i/>
                <w:iCs/>
                <w:color w:val="000000" w:themeColor="text1"/>
                <w:kern w:val="24"/>
                <w:sz w:val="28"/>
                <w:szCs w:val="28"/>
              </w:rPr>
              <w:t>Welfare &amp; Institutions Code Section 471</w:t>
            </w:r>
            <w:r>
              <w:rPr>
                <w:rFonts w:ascii="Arial" w:eastAsia="+mn-ea" w:hAnsi="Arial" w:cs="Arial"/>
                <w:i/>
                <w:iCs/>
                <w:color w:val="000000" w:themeColor="text1"/>
                <w:kern w:val="24"/>
                <w:sz w:val="28"/>
                <w:szCs w:val="28"/>
              </w:rPr>
              <w:t>2(h)</w:t>
            </w:r>
          </w:p>
          <w:p w14:paraId="64D7A11B" w14:textId="77777777" w:rsidR="004417E3" w:rsidRPr="00957F7F" w:rsidRDefault="004417E3" w:rsidP="00B947DB">
            <w:pPr>
              <w:spacing w:before="120" w:after="120"/>
              <w:rPr>
                <w:rFonts w:ascii="Arial" w:eastAsia="+mn-ea" w:hAnsi="Arial" w:cs="Arial"/>
                <w:b/>
                <w:iCs/>
                <w:color w:val="000000" w:themeColor="text1"/>
                <w:kern w:val="24"/>
                <w:sz w:val="14"/>
                <w:szCs w:val="14"/>
              </w:rPr>
            </w:pPr>
          </w:p>
        </w:tc>
        <w:tc>
          <w:tcPr>
            <w:tcW w:w="6120" w:type="dxa"/>
          </w:tcPr>
          <w:p w14:paraId="09809836" w14:textId="77777777" w:rsidR="004417E3" w:rsidRPr="00563B02" w:rsidRDefault="004417E3" w:rsidP="00B947DB">
            <w:pPr>
              <w:pStyle w:val="ListParagraph"/>
              <w:numPr>
                <w:ilvl w:val="0"/>
                <w:numId w:val="11"/>
              </w:numPr>
              <w:autoSpaceDE w:val="0"/>
              <w:autoSpaceDN w:val="0"/>
              <w:adjustRightInd w:val="0"/>
              <w:spacing w:before="120" w:after="120"/>
              <w:contextualSpacing w:val="0"/>
              <w:rPr>
                <w:rFonts w:ascii="Arial" w:hAnsi="Arial" w:cs="Arial"/>
                <w:bCs/>
                <w:color w:val="000000"/>
                <w:sz w:val="28"/>
                <w:szCs w:val="28"/>
              </w:rPr>
            </w:pPr>
            <w:r w:rsidRPr="00563B02">
              <w:rPr>
                <w:rFonts w:ascii="Arial" w:hAnsi="Arial" w:cs="Arial"/>
                <w:bCs/>
                <w:color w:val="000000"/>
                <w:sz w:val="28"/>
                <w:szCs w:val="28"/>
              </w:rPr>
              <w:t xml:space="preserve">Unless the claimant is themselves an attorney licensed to practice law in California, or unless the claimant will have an attorney licensed to practice law in California in attendance, a regional center attorney or department attorney shall not attend an informal meeting, mediation, or fair hearing described in this chapter. </w:t>
            </w:r>
          </w:p>
          <w:p w14:paraId="589BA29C" w14:textId="77777777" w:rsidR="004417E3" w:rsidRPr="00563B02" w:rsidRDefault="004417E3" w:rsidP="00B947DB">
            <w:pPr>
              <w:pStyle w:val="ListParagraph"/>
              <w:numPr>
                <w:ilvl w:val="0"/>
                <w:numId w:val="11"/>
              </w:numPr>
              <w:autoSpaceDE w:val="0"/>
              <w:autoSpaceDN w:val="0"/>
              <w:adjustRightInd w:val="0"/>
              <w:spacing w:before="120" w:after="120"/>
              <w:contextualSpacing w:val="0"/>
              <w:rPr>
                <w:rFonts w:ascii="Arial" w:hAnsi="Arial" w:cs="Arial"/>
                <w:bCs/>
                <w:color w:val="000000"/>
                <w:sz w:val="28"/>
                <w:szCs w:val="28"/>
              </w:rPr>
            </w:pPr>
            <w:r w:rsidRPr="00563B02">
              <w:rPr>
                <w:rFonts w:ascii="Arial" w:hAnsi="Arial" w:cs="Arial"/>
                <w:bCs/>
                <w:color w:val="000000"/>
                <w:sz w:val="28"/>
                <w:szCs w:val="28"/>
              </w:rPr>
              <w:t xml:space="preserve">The claimant shall notify the regional center and the hearing office at least 5 days prior to mediation, and 15 days prior to a fair hearing, that the claimant will have an attorney in attendance. </w:t>
            </w:r>
          </w:p>
          <w:p w14:paraId="3DE217EA" w14:textId="77777777" w:rsidR="00B947DB" w:rsidRDefault="004417E3" w:rsidP="00B947DB">
            <w:pPr>
              <w:pStyle w:val="ListParagraph"/>
              <w:numPr>
                <w:ilvl w:val="0"/>
                <w:numId w:val="11"/>
              </w:numPr>
              <w:autoSpaceDE w:val="0"/>
              <w:autoSpaceDN w:val="0"/>
              <w:adjustRightInd w:val="0"/>
              <w:spacing w:before="120" w:after="120"/>
              <w:contextualSpacing w:val="0"/>
              <w:rPr>
                <w:rFonts w:ascii="Arial" w:hAnsi="Arial" w:cs="Arial"/>
                <w:bCs/>
                <w:color w:val="000000"/>
                <w:sz w:val="28"/>
                <w:szCs w:val="28"/>
              </w:rPr>
            </w:pPr>
            <w:r w:rsidRPr="00563B02">
              <w:rPr>
                <w:rFonts w:ascii="Arial" w:hAnsi="Arial" w:cs="Arial"/>
                <w:bCs/>
                <w:color w:val="000000"/>
                <w:sz w:val="28"/>
                <w:szCs w:val="28"/>
              </w:rPr>
              <w:t>However, the hearing officer may notify the parties in advance of a hearing that the hearing officer is allowing the attendance of an attorney in the interest of justice.</w:t>
            </w:r>
          </w:p>
          <w:p w14:paraId="7AC38A0A" w14:textId="77777777" w:rsidR="000744E8" w:rsidRDefault="007756FD" w:rsidP="00CF43C3">
            <w:pPr>
              <w:autoSpaceDE w:val="0"/>
              <w:autoSpaceDN w:val="0"/>
              <w:adjustRightInd w:val="0"/>
              <w:spacing w:before="120" w:after="120"/>
              <w:rPr>
                <w:rFonts w:ascii="Arial" w:hAnsi="Arial" w:cs="Arial"/>
                <w:bCs/>
                <w:i/>
                <w:iCs/>
                <w:color w:val="000000"/>
                <w:sz w:val="28"/>
                <w:szCs w:val="28"/>
              </w:rPr>
            </w:pPr>
            <w:r w:rsidRPr="007756FD">
              <w:rPr>
                <w:rFonts w:ascii="Arial" w:hAnsi="Arial" w:cs="Arial"/>
                <w:bCs/>
                <w:i/>
                <w:iCs/>
                <w:color w:val="000000"/>
                <w:sz w:val="28"/>
                <w:szCs w:val="28"/>
              </w:rPr>
              <w:t xml:space="preserve">SB 188, </w:t>
            </w:r>
            <w:r w:rsidR="00CF43C3" w:rsidRPr="007756FD">
              <w:rPr>
                <w:rFonts w:ascii="Arial" w:hAnsi="Arial" w:cs="Arial"/>
                <w:bCs/>
                <w:i/>
                <w:iCs/>
                <w:color w:val="000000"/>
                <w:sz w:val="28"/>
                <w:szCs w:val="28"/>
              </w:rPr>
              <w:t xml:space="preserve">SEC. </w:t>
            </w:r>
            <w:r w:rsidRPr="007756FD">
              <w:rPr>
                <w:rFonts w:ascii="Arial" w:hAnsi="Arial" w:cs="Arial"/>
                <w:bCs/>
                <w:i/>
                <w:iCs/>
                <w:color w:val="000000"/>
                <w:sz w:val="28"/>
                <w:szCs w:val="28"/>
              </w:rPr>
              <w:t>33</w:t>
            </w:r>
          </w:p>
          <w:p w14:paraId="3F4C6977" w14:textId="6C2FA46B" w:rsidR="000744E8" w:rsidRPr="007756FD" w:rsidRDefault="000744E8" w:rsidP="00CF43C3">
            <w:pPr>
              <w:autoSpaceDE w:val="0"/>
              <w:autoSpaceDN w:val="0"/>
              <w:adjustRightInd w:val="0"/>
              <w:spacing w:before="120" w:after="120"/>
              <w:rPr>
                <w:rFonts w:ascii="Arial" w:hAnsi="Arial" w:cs="Arial"/>
                <w:bCs/>
                <w:i/>
                <w:iCs/>
                <w:color w:val="000000"/>
                <w:sz w:val="28"/>
                <w:szCs w:val="28"/>
              </w:rPr>
            </w:pPr>
          </w:p>
        </w:tc>
        <w:tc>
          <w:tcPr>
            <w:tcW w:w="2459" w:type="dxa"/>
          </w:tcPr>
          <w:p w14:paraId="7176E035" w14:textId="5FDCD587" w:rsidR="004417E3" w:rsidRPr="00957F7F" w:rsidRDefault="004417E3" w:rsidP="00B947DB">
            <w:pPr>
              <w:autoSpaceDE w:val="0"/>
              <w:autoSpaceDN w:val="0"/>
              <w:adjustRightInd w:val="0"/>
              <w:spacing w:before="120" w:after="120"/>
              <w:rPr>
                <w:rFonts w:ascii="Arial" w:hAnsi="Arial" w:cs="Arial"/>
                <w:sz w:val="28"/>
                <w:szCs w:val="28"/>
              </w:rPr>
            </w:pPr>
            <w:r>
              <w:rPr>
                <w:rFonts w:ascii="Arial" w:hAnsi="Arial" w:cs="Arial"/>
                <w:color w:val="000000"/>
                <w:sz w:val="28"/>
                <w:szCs w:val="28"/>
              </w:rPr>
              <w:t>October</w:t>
            </w:r>
            <w:r w:rsidRPr="00957F7F">
              <w:rPr>
                <w:rFonts w:ascii="Arial" w:hAnsi="Arial" w:cs="Arial"/>
                <w:color w:val="000000"/>
                <w:sz w:val="28"/>
                <w:szCs w:val="28"/>
              </w:rPr>
              <w:t xml:space="preserve"> 1, 202</w:t>
            </w:r>
            <w:r w:rsidR="00C84915">
              <w:rPr>
                <w:rFonts w:ascii="Arial" w:hAnsi="Arial" w:cs="Arial"/>
                <w:color w:val="000000"/>
                <w:sz w:val="28"/>
                <w:szCs w:val="28"/>
              </w:rPr>
              <w:t>2</w:t>
            </w:r>
          </w:p>
        </w:tc>
      </w:tr>
      <w:tr w:rsidR="004417E3" w:rsidRPr="008A457F" w14:paraId="364BDE32" w14:textId="77777777" w:rsidTr="000744E8">
        <w:trPr>
          <w:trHeight w:val="350"/>
          <w:jc w:val="center"/>
        </w:trPr>
        <w:tc>
          <w:tcPr>
            <w:tcW w:w="14424" w:type="dxa"/>
            <w:gridSpan w:val="3"/>
            <w:shd w:val="clear" w:color="auto" w:fill="D0CECE" w:themeFill="background2" w:themeFillShade="E6"/>
          </w:tcPr>
          <w:p w14:paraId="670141F2" w14:textId="6686B640" w:rsidR="004417E3" w:rsidRPr="00957F7F" w:rsidRDefault="004417E3" w:rsidP="00B947DB">
            <w:pPr>
              <w:tabs>
                <w:tab w:val="left" w:pos="982"/>
              </w:tabs>
              <w:spacing w:before="120" w:after="120"/>
              <w:rPr>
                <w:rFonts w:ascii="Arial" w:hAnsi="Arial" w:cs="Arial"/>
                <w:b/>
                <w:sz w:val="28"/>
                <w:szCs w:val="28"/>
              </w:rPr>
            </w:pPr>
            <w:r w:rsidRPr="00957F7F">
              <w:rPr>
                <w:rFonts w:ascii="Arial" w:hAnsi="Arial" w:cs="Arial"/>
                <w:b/>
                <w:sz w:val="28"/>
                <w:szCs w:val="28"/>
              </w:rPr>
              <w:t>Notice of Action and Timelines for Appeal</w:t>
            </w:r>
          </w:p>
        </w:tc>
      </w:tr>
      <w:tr w:rsidR="004417E3" w:rsidRPr="008A457F" w14:paraId="43F8A7CE" w14:textId="77777777" w:rsidTr="000744E8">
        <w:trPr>
          <w:trHeight w:val="350"/>
          <w:jc w:val="center"/>
        </w:trPr>
        <w:tc>
          <w:tcPr>
            <w:tcW w:w="5845" w:type="dxa"/>
          </w:tcPr>
          <w:p w14:paraId="3B88B186" w14:textId="513CC375"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Current Law</w:t>
            </w:r>
          </w:p>
        </w:tc>
        <w:tc>
          <w:tcPr>
            <w:tcW w:w="6120" w:type="dxa"/>
          </w:tcPr>
          <w:p w14:paraId="060F4783" w14:textId="19DA30F4" w:rsidR="004417E3" w:rsidRPr="00957F7F" w:rsidRDefault="004417E3" w:rsidP="00B947DB">
            <w:pPr>
              <w:autoSpaceDE w:val="0"/>
              <w:autoSpaceDN w:val="0"/>
              <w:adjustRightInd w:val="0"/>
              <w:spacing w:before="120" w:after="120"/>
              <w:rPr>
                <w:rFonts w:ascii="Arial" w:hAnsi="Arial" w:cs="Arial"/>
                <w:b/>
                <w:bCs/>
                <w:color w:val="000000"/>
                <w:sz w:val="28"/>
                <w:szCs w:val="28"/>
              </w:rPr>
            </w:pPr>
            <w:r w:rsidRPr="00957F7F">
              <w:rPr>
                <w:rFonts w:ascii="Arial" w:hAnsi="Arial" w:cs="Arial"/>
                <w:b/>
                <w:bCs/>
                <w:color w:val="000000"/>
                <w:sz w:val="28"/>
                <w:szCs w:val="28"/>
              </w:rPr>
              <w:t>New Law</w:t>
            </w:r>
          </w:p>
        </w:tc>
        <w:tc>
          <w:tcPr>
            <w:tcW w:w="2459" w:type="dxa"/>
          </w:tcPr>
          <w:p w14:paraId="13371A4D" w14:textId="7F4FE33D" w:rsidR="004417E3" w:rsidRPr="00957F7F" w:rsidRDefault="004417E3" w:rsidP="00B947DB">
            <w:pPr>
              <w:autoSpaceDE w:val="0"/>
              <w:autoSpaceDN w:val="0"/>
              <w:adjustRightInd w:val="0"/>
              <w:spacing w:before="120" w:after="120"/>
              <w:rPr>
                <w:rFonts w:ascii="Arial" w:hAnsi="Arial" w:cs="Arial"/>
                <w:b/>
                <w:bCs/>
                <w:color w:val="000000"/>
                <w:sz w:val="28"/>
                <w:szCs w:val="28"/>
              </w:rPr>
            </w:pPr>
            <w:r w:rsidRPr="00957F7F">
              <w:rPr>
                <w:rFonts w:ascii="Arial" w:hAnsi="Arial" w:cs="Arial"/>
                <w:b/>
                <w:bCs/>
                <w:color w:val="000000"/>
                <w:sz w:val="28"/>
                <w:szCs w:val="28"/>
              </w:rPr>
              <w:t>Effective Date</w:t>
            </w:r>
          </w:p>
        </w:tc>
      </w:tr>
      <w:tr w:rsidR="004417E3" w:rsidRPr="008A457F" w14:paraId="6037AD96" w14:textId="77777777" w:rsidTr="000744E8">
        <w:trPr>
          <w:trHeight w:val="350"/>
          <w:jc w:val="center"/>
        </w:trPr>
        <w:tc>
          <w:tcPr>
            <w:tcW w:w="5845" w:type="dxa"/>
          </w:tcPr>
          <w:p w14:paraId="26416ED0" w14:textId="77777777"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Right to Aid Paid Pending If Appealed Within 10 Days</w:t>
            </w:r>
          </w:p>
          <w:p w14:paraId="3744EFF0" w14:textId="77777777" w:rsidR="004417E3" w:rsidRPr="00957F7F" w:rsidRDefault="004417E3" w:rsidP="00B947DB">
            <w:pPr>
              <w:spacing w:before="120" w:after="120"/>
              <w:rPr>
                <w:rFonts w:ascii="Arial" w:eastAsia="+mn-ea" w:hAnsi="Arial" w:cs="Arial"/>
                <w:i/>
                <w:iCs/>
                <w:color w:val="000000" w:themeColor="text1"/>
                <w:kern w:val="24"/>
                <w:sz w:val="28"/>
                <w:szCs w:val="28"/>
              </w:rPr>
            </w:pPr>
            <w:r w:rsidRPr="00957F7F">
              <w:rPr>
                <w:rFonts w:ascii="Arial" w:eastAsia="+mn-ea" w:hAnsi="Arial" w:cs="Arial"/>
                <w:i/>
                <w:iCs/>
                <w:color w:val="000000" w:themeColor="text1"/>
                <w:kern w:val="24"/>
                <w:sz w:val="28"/>
                <w:szCs w:val="28"/>
              </w:rPr>
              <w:t>Welfare &amp; Institutions Code Section 4715</w:t>
            </w:r>
          </w:p>
          <w:p w14:paraId="6AB5A3E0" w14:textId="77777777" w:rsidR="004417E3" w:rsidRPr="00957F7F" w:rsidRDefault="004417E3" w:rsidP="00B947DB">
            <w:pPr>
              <w:spacing w:before="120" w:after="120"/>
              <w:rPr>
                <w:rFonts w:ascii="Arial" w:eastAsia="+mn-ea" w:hAnsi="Arial" w:cs="Arial"/>
                <w:b/>
                <w:iCs/>
                <w:color w:val="000000" w:themeColor="text1"/>
                <w:kern w:val="24"/>
                <w:sz w:val="14"/>
                <w:szCs w:val="14"/>
              </w:rPr>
            </w:pPr>
          </w:p>
        </w:tc>
        <w:tc>
          <w:tcPr>
            <w:tcW w:w="6120" w:type="dxa"/>
          </w:tcPr>
          <w:p w14:paraId="054925A9" w14:textId="77777777" w:rsidR="004417E3" w:rsidRDefault="004417E3" w:rsidP="00B947DB">
            <w:pPr>
              <w:autoSpaceDE w:val="0"/>
              <w:autoSpaceDN w:val="0"/>
              <w:adjustRightInd w:val="0"/>
              <w:spacing w:before="120" w:after="120"/>
              <w:rPr>
                <w:rFonts w:ascii="Arial" w:eastAsia="+mn-ea" w:hAnsi="Arial" w:cs="Arial"/>
                <w:b/>
                <w:iCs/>
                <w:color w:val="000000" w:themeColor="text1"/>
                <w:kern w:val="24"/>
                <w:sz w:val="28"/>
                <w:szCs w:val="28"/>
              </w:rPr>
            </w:pPr>
            <w:r w:rsidRPr="00957F7F">
              <w:rPr>
                <w:rFonts w:ascii="Arial" w:eastAsia="+mn-ea" w:hAnsi="Arial" w:cs="Arial"/>
                <w:bCs/>
                <w:iCs/>
                <w:color w:val="000000" w:themeColor="text1"/>
                <w:kern w:val="24"/>
                <w:sz w:val="28"/>
                <w:szCs w:val="28"/>
              </w:rPr>
              <w:t xml:space="preserve">Right to Aid Paid Pending If Appealed Within </w:t>
            </w:r>
            <w:r w:rsidRPr="00957F7F">
              <w:rPr>
                <w:rFonts w:ascii="Arial" w:eastAsia="+mn-ea" w:hAnsi="Arial" w:cs="Arial"/>
                <w:b/>
                <w:iCs/>
                <w:color w:val="000000" w:themeColor="text1"/>
                <w:kern w:val="24"/>
                <w:sz w:val="28"/>
                <w:szCs w:val="28"/>
              </w:rPr>
              <w:t>30 Days</w:t>
            </w:r>
          </w:p>
          <w:p w14:paraId="4DA405C3" w14:textId="0F558DEF" w:rsidR="007756FD" w:rsidRPr="00957F7F" w:rsidRDefault="007756FD" w:rsidP="00B947DB">
            <w:pPr>
              <w:autoSpaceDE w:val="0"/>
              <w:autoSpaceDN w:val="0"/>
              <w:adjustRightInd w:val="0"/>
              <w:spacing w:before="120" w:after="120"/>
              <w:rPr>
                <w:rFonts w:ascii="Arial" w:hAnsi="Arial" w:cs="Arial"/>
                <w:bCs/>
                <w:color w:val="000000"/>
                <w:sz w:val="28"/>
                <w:szCs w:val="28"/>
              </w:rPr>
            </w:pPr>
            <w:r w:rsidRPr="007756FD">
              <w:rPr>
                <w:rFonts w:ascii="Arial" w:hAnsi="Arial" w:cs="Arial"/>
                <w:bCs/>
                <w:i/>
                <w:iCs/>
                <w:color w:val="000000"/>
                <w:sz w:val="28"/>
                <w:szCs w:val="28"/>
              </w:rPr>
              <w:t xml:space="preserve">SB 188, SEC. </w:t>
            </w:r>
            <w:r w:rsidR="00C52832">
              <w:rPr>
                <w:rFonts w:ascii="Arial" w:hAnsi="Arial" w:cs="Arial"/>
                <w:bCs/>
                <w:i/>
                <w:iCs/>
                <w:color w:val="000000"/>
                <w:sz w:val="28"/>
                <w:szCs w:val="28"/>
              </w:rPr>
              <w:t xml:space="preserve">36, </w:t>
            </w:r>
            <w:r w:rsidR="005E4E7E">
              <w:rPr>
                <w:rFonts w:ascii="Arial" w:hAnsi="Arial" w:cs="Arial"/>
                <w:bCs/>
                <w:i/>
                <w:iCs/>
                <w:color w:val="000000"/>
                <w:sz w:val="28"/>
                <w:szCs w:val="28"/>
              </w:rPr>
              <w:t>69</w:t>
            </w:r>
          </w:p>
        </w:tc>
        <w:tc>
          <w:tcPr>
            <w:tcW w:w="2459" w:type="dxa"/>
          </w:tcPr>
          <w:p w14:paraId="555CB279" w14:textId="66E04095" w:rsidR="004417E3" w:rsidRPr="00957F7F" w:rsidRDefault="004417E3" w:rsidP="00B947DB">
            <w:pPr>
              <w:autoSpaceDE w:val="0"/>
              <w:autoSpaceDN w:val="0"/>
              <w:adjustRightInd w:val="0"/>
              <w:spacing w:before="120" w:after="120"/>
              <w:rPr>
                <w:rFonts w:ascii="Arial" w:hAnsi="Arial" w:cs="Arial"/>
                <w:sz w:val="28"/>
                <w:szCs w:val="28"/>
              </w:rPr>
            </w:pPr>
            <w:r w:rsidRPr="00957F7F">
              <w:rPr>
                <w:rFonts w:ascii="Arial" w:hAnsi="Arial" w:cs="Arial"/>
                <w:color w:val="000000"/>
                <w:sz w:val="28"/>
                <w:szCs w:val="28"/>
              </w:rPr>
              <w:t>March 1, 2023</w:t>
            </w:r>
          </w:p>
        </w:tc>
      </w:tr>
      <w:tr w:rsidR="004417E3" w:rsidRPr="008A457F" w14:paraId="34D57123" w14:textId="77777777" w:rsidTr="000744E8">
        <w:trPr>
          <w:trHeight w:val="350"/>
          <w:jc w:val="center"/>
        </w:trPr>
        <w:tc>
          <w:tcPr>
            <w:tcW w:w="5845" w:type="dxa"/>
          </w:tcPr>
          <w:p w14:paraId="530B4755" w14:textId="634E756F"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Appeal Within 30 Days</w:t>
            </w:r>
          </w:p>
          <w:p w14:paraId="3EEF6DAC" w14:textId="5BA80EBE" w:rsidR="004417E3" w:rsidRPr="00B947DB" w:rsidRDefault="004417E3" w:rsidP="00B947DB">
            <w:pPr>
              <w:spacing w:before="120" w:after="120"/>
              <w:rPr>
                <w:rFonts w:ascii="Arial" w:eastAsia="+mn-ea" w:hAnsi="Arial" w:cs="Arial"/>
                <w:i/>
                <w:iCs/>
                <w:color w:val="000000" w:themeColor="text1"/>
                <w:kern w:val="24"/>
                <w:sz w:val="28"/>
                <w:szCs w:val="28"/>
              </w:rPr>
            </w:pPr>
            <w:r w:rsidRPr="00957F7F">
              <w:rPr>
                <w:rFonts w:ascii="Arial" w:eastAsia="+mn-ea" w:hAnsi="Arial" w:cs="Arial"/>
                <w:i/>
                <w:iCs/>
                <w:color w:val="000000" w:themeColor="text1"/>
                <w:kern w:val="24"/>
                <w:sz w:val="28"/>
                <w:szCs w:val="28"/>
              </w:rPr>
              <w:t>Welfare &amp; Institutions Code Section 4710.5(a)</w:t>
            </w:r>
          </w:p>
        </w:tc>
        <w:tc>
          <w:tcPr>
            <w:tcW w:w="6120" w:type="dxa"/>
          </w:tcPr>
          <w:p w14:paraId="0EEF3554" w14:textId="0399888D" w:rsidR="004417E3" w:rsidRPr="00957F7F" w:rsidRDefault="004417E3" w:rsidP="00B947DB">
            <w:pPr>
              <w:spacing w:before="120" w:after="120"/>
              <w:rPr>
                <w:rFonts w:ascii="Arial" w:eastAsia="+mn-ea" w:hAnsi="Arial" w:cs="Arial"/>
                <w:bCs/>
                <w:iCs/>
                <w:color w:val="000000" w:themeColor="text1"/>
                <w:kern w:val="24"/>
                <w:sz w:val="28"/>
                <w:szCs w:val="28"/>
              </w:rPr>
            </w:pPr>
            <w:r w:rsidRPr="00957F7F">
              <w:rPr>
                <w:rFonts w:ascii="Arial" w:eastAsia="+mn-ea" w:hAnsi="Arial" w:cs="Arial"/>
                <w:bCs/>
                <w:iCs/>
                <w:color w:val="000000" w:themeColor="text1"/>
                <w:kern w:val="24"/>
                <w:sz w:val="28"/>
                <w:szCs w:val="28"/>
              </w:rPr>
              <w:t xml:space="preserve">Appeal Within </w:t>
            </w:r>
            <w:r w:rsidR="006B6D51">
              <w:rPr>
                <w:rFonts w:ascii="Arial" w:eastAsia="+mn-ea" w:hAnsi="Arial" w:cs="Arial"/>
                <w:b/>
                <w:iCs/>
                <w:color w:val="000000" w:themeColor="text1"/>
                <w:kern w:val="24"/>
                <w:sz w:val="28"/>
                <w:szCs w:val="28"/>
              </w:rPr>
              <w:t>60</w:t>
            </w:r>
            <w:r w:rsidRPr="00957F7F">
              <w:rPr>
                <w:rFonts w:ascii="Arial" w:eastAsia="+mn-ea" w:hAnsi="Arial" w:cs="Arial"/>
                <w:b/>
                <w:iCs/>
                <w:color w:val="000000" w:themeColor="text1"/>
                <w:kern w:val="24"/>
                <w:sz w:val="28"/>
                <w:szCs w:val="28"/>
              </w:rPr>
              <w:t xml:space="preserve"> Days</w:t>
            </w:r>
            <w:r w:rsidRPr="00957F7F">
              <w:rPr>
                <w:rFonts w:ascii="Arial" w:eastAsia="+mn-ea" w:hAnsi="Arial" w:cs="Arial"/>
                <w:bCs/>
                <w:iCs/>
                <w:color w:val="000000" w:themeColor="text1"/>
                <w:kern w:val="24"/>
                <w:sz w:val="28"/>
                <w:szCs w:val="28"/>
              </w:rPr>
              <w:t xml:space="preserve"> After Notification of </w:t>
            </w:r>
            <w:r w:rsidR="00EE309C">
              <w:rPr>
                <w:rFonts w:ascii="Arial" w:eastAsia="+mn-ea" w:hAnsi="Arial" w:cs="Arial"/>
                <w:bCs/>
                <w:iCs/>
                <w:color w:val="000000" w:themeColor="text1"/>
                <w:kern w:val="24"/>
                <w:sz w:val="28"/>
                <w:szCs w:val="28"/>
              </w:rPr>
              <w:t>Service Agency Action</w:t>
            </w:r>
          </w:p>
          <w:p w14:paraId="01E4ACC1" w14:textId="007A08EA" w:rsidR="004417E3" w:rsidRPr="00957F7F" w:rsidRDefault="00C52832" w:rsidP="00B947DB">
            <w:pPr>
              <w:tabs>
                <w:tab w:val="left" w:pos="982"/>
              </w:tabs>
              <w:spacing w:before="120" w:after="120"/>
              <w:rPr>
                <w:rFonts w:ascii="Arial" w:hAnsi="Arial" w:cs="Arial"/>
                <w:bCs/>
                <w:sz w:val="28"/>
                <w:szCs w:val="28"/>
              </w:rPr>
            </w:pPr>
            <w:r w:rsidRPr="007756FD">
              <w:rPr>
                <w:rFonts w:ascii="Arial" w:hAnsi="Arial" w:cs="Arial"/>
                <w:bCs/>
                <w:i/>
                <w:iCs/>
                <w:color w:val="000000"/>
                <w:sz w:val="28"/>
                <w:szCs w:val="28"/>
              </w:rPr>
              <w:t xml:space="preserve">SB 188, SEC. </w:t>
            </w:r>
            <w:r>
              <w:rPr>
                <w:rFonts w:ascii="Arial" w:hAnsi="Arial" w:cs="Arial"/>
                <w:bCs/>
                <w:i/>
                <w:iCs/>
                <w:color w:val="000000"/>
                <w:sz w:val="28"/>
                <w:szCs w:val="28"/>
              </w:rPr>
              <w:t>36</w:t>
            </w:r>
            <w:r w:rsidR="00BF2245">
              <w:rPr>
                <w:rFonts w:ascii="Arial" w:hAnsi="Arial" w:cs="Arial"/>
                <w:bCs/>
                <w:i/>
                <w:iCs/>
                <w:color w:val="000000"/>
                <w:sz w:val="28"/>
                <w:szCs w:val="28"/>
              </w:rPr>
              <w:t>, 41</w:t>
            </w:r>
          </w:p>
        </w:tc>
        <w:tc>
          <w:tcPr>
            <w:tcW w:w="2459" w:type="dxa"/>
          </w:tcPr>
          <w:p w14:paraId="024F3CA0" w14:textId="32D9B942" w:rsidR="004417E3" w:rsidRPr="00957F7F" w:rsidRDefault="004417E3" w:rsidP="00B947DB">
            <w:pPr>
              <w:tabs>
                <w:tab w:val="left" w:pos="982"/>
              </w:tabs>
              <w:spacing w:before="120" w:after="120"/>
              <w:rPr>
                <w:rFonts w:ascii="Arial" w:hAnsi="Arial" w:cs="Arial"/>
                <w:sz w:val="28"/>
                <w:szCs w:val="28"/>
              </w:rPr>
            </w:pPr>
            <w:r w:rsidRPr="00957F7F">
              <w:rPr>
                <w:rFonts w:ascii="Arial" w:hAnsi="Arial" w:cs="Arial"/>
                <w:sz w:val="28"/>
                <w:szCs w:val="28"/>
              </w:rPr>
              <w:t>March 1, 2023</w:t>
            </w:r>
          </w:p>
        </w:tc>
      </w:tr>
      <w:tr w:rsidR="004417E3" w:rsidRPr="008A457F" w14:paraId="7B091225" w14:textId="77777777" w:rsidTr="000744E8">
        <w:trPr>
          <w:trHeight w:val="350"/>
          <w:jc w:val="center"/>
        </w:trPr>
        <w:tc>
          <w:tcPr>
            <w:tcW w:w="14424" w:type="dxa"/>
            <w:gridSpan w:val="3"/>
            <w:shd w:val="clear" w:color="auto" w:fill="D0CECE" w:themeFill="background2" w:themeFillShade="E6"/>
          </w:tcPr>
          <w:p w14:paraId="7B62093B" w14:textId="11269390" w:rsidR="004417E3" w:rsidRPr="00957F7F" w:rsidRDefault="004417E3" w:rsidP="00B947DB">
            <w:pPr>
              <w:spacing w:before="120" w:after="120"/>
              <w:rPr>
                <w:rFonts w:ascii="Arial" w:hAnsi="Arial" w:cs="Arial"/>
                <w:b/>
                <w:sz w:val="28"/>
                <w:szCs w:val="28"/>
              </w:rPr>
            </w:pPr>
            <w:r w:rsidRPr="00957F7F">
              <w:rPr>
                <w:rFonts w:ascii="Arial" w:hAnsi="Arial" w:cs="Arial"/>
                <w:b/>
                <w:sz w:val="28"/>
                <w:szCs w:val="28"/>
              </w:rPr>
              <w:t>Informal Meeting &amp; Mediations</w:t>
            </w:r>
          </w:p>
        </w:tc>
      </w:tr>
      <w:tr w:rsidR="004417E3" w:rsidRPr="008A457F" w14:paraId="0682CA87" w14:textId="77777777" w:rsidTr="000744E8">
        <w:trPr>
          <w:trHeight w:val="350"/>
          <w:jc w:val="center"/>
        </w:trPr>
        <w:tc>
          <w:tcPr>
            <w:tcW w:w="5845" w:type="dxa"/>
          </w:tcPr>
          <w:p w14:paraId="68DEFFE0" w14:textId="0A6FE414"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Current Law</w:t>
            </w:r>
          </w:p>
        </w:tc>
        <w:tc>
          <w:tcPr>
            <w:tcW w:w="6120" w:type="dxa"/>
          </w:tcPr>
          <w:p w14:paraId="4E0B351A" w14:textId="018D90F0" w:rsidR="004417E3" w:rsidRPr="00957F7F" w:rsidRDefault="004417E3" w:rsidP="00B947DB">
            <w:pPr>
              <w:spacing w:before="120" w:after="120"/>
              <w:rPr>
                <w:rFonts w:ascii="Arial" w:hAnsi="Arial" w:cs="Arial"/>
                <w:sz w:val="28"/>
                <w:szCs w:val="28"/>
              </w:rPr>
            </w:pPr>
            <w:r w:rsidRPr="00957F7F">
              <w:rPr>
                <w:rFonts w:ascii="Arial" w:hAnsi="Arial" w:cs="Arial"/>
                <w:b/>
                <w:bCs/>
                <w:color w:val="000000"/>
                <w:sz w:val="28"/>
                <w:szCs w:val="28"/>
              </w:rPr>
              <w:t>New Law</w:t>
            </w:r>
          </w:p>
        </w:tc>
        <w:tc>
          <w:tcPr>
            <w:tcW w:w="2459" w:type="dxa"/>
          </w:tcPr>
          <w:p w14:paraId="1F010E00" w14:textId="2EFDE71C" w:rsidR="004417E3" w:rsidRPr="00957F7F" w:rsidRDefault="004417E3" w:rsidP="00B947DB">
            <w:pPr>
              <w:spacing w:before="120" w:after="120"/>
              <w:rPr>
                <w:rFonts w:ascii="Arial" w:hAnsi="Arial" w:cs="Arial"/>
                <w:sz w:val="28"/>
                <w:szCs w:val="28"/>
              </w:rPr>
            </w:pPr>
            <w:r w:rsidRPr="00957F7F">
              <w:rPr>
                <w:rFonts w:ascii="Arial" w:hAnsi="Arial" w:cs="Arial"/>
                <w:b/>
                <w:bCs/>
                <w:color w:val="000000"/>
                <w:sz w:val="28"/>
                <w:szCs w:val="28"/>
              </w:rPr>
              <w:t>Effective Date</w:t>
            </w:r>
          </w:p>
        </w:tc>
      </w:tr>
      <w:tr w:rsidR="004417E3" w:rsidRPr="008A457F" w14:paraId="419DBC94" w14:textId="77777777" w:rsidTr="000744E8">
        <w:trPr>
          <w:trHeight w:val="350"/>
          <w:jc w:val="center"/>
        </w:trPr>
        <w:tc>
          <w:tcPr>
            <w:tcW w:w="5845" w:type="dxa"/>
          </w:tcPr>
          <w:p w14:paraId="683E571B" w14:textId="014DCA10"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Person Can Request Informal Meeting and/or Mediation with Hearing Request</w:t>
            </w:r>
          </w:p>
          <w:p w14:paraId="3AA09029" w14:textId="77899767" w:rsidR="004417E3" w:rsidRPr="004417E3" w:rsidRDefault="004417E3" w:rsidP="00B947DB">
            <w:pPr>
              <w:spacing w:before="120" w:after="120"/>
              <w:rPr>
                <w:rFonts w:ascii="Arial" w:eastAsia="+mn-ea" w:hAnsi="Arial" w:cs="Arial"/>
                <w:i/>
                <w:iCs/>
                <w:color w:val="000000" w:themeColor="text1"/>
                <w:kern w:val="24"/>
                <w:sz w:val="28"/>
                <w:szCs w:val="28"/>
              </w:rPr>
            </w:pPr>
            <w:r w:rsidRPr="00957F7F">
              <w:rPr>
                <w:rFonts w:ascii="Arial" w:eastAsia="+mn-ea" w:hAnsi="Arial" w:cs="Arial"/>
                <w:i/>
                <w:iCs/>
                <w:color w:val="000000" w:themeColor="text1"/>
                <w:kern w:val="24"/>
                <w:sz w:val="28"/>
                <w:szCs w:val="28"/>
              </w:rPr>
              <w:t>Welfare &amp; Institutions Code Section 4710.5</w:t>
            </w:r>
          </w:p>
        </w:tc>
        <w:tc>
          <w:tcPr>
            <w:tcW w:w="6120" w:type="dxa"/>
          </w:tcPr>
          <w:p w14:paraId="026C612C" w14:textId="77777777" w:rsidR="004417E3" w:rsidRDefault="004417E3" w:rsidP="00B947DB">
            <w:pPr>
              <w:spacing w:before="120" w:after="120"/>
              <w:rPr>
                <w:rFonts w:ascii="Arial" w:hAnsi="Arial" w:cs="Arial"/>
                <w:sz w:val="28"/>
                <w:szCs w:val="28"/>
              </w:rPr>
            </w:pPr>
            <w:r w:rsidRPr="00957F7F">
              <w:rPr>
                <w:rFonts w:ascii="Arial" w:hAnsi="Arial" w:cs="Arial"/>
                <w:sz w:val="28"/>
                <w:szCs w:val="28"/>
              </w:rPr>
              <w:t>Person Can Request Informal Meeting and/or Mediation without Having to Request a Hearing</w:t>
            </w:r>
          </w:p>
          <w:p w14:paraId="558E9171" w14:textId="2059303E" w:rsidR="00BF2245" w:rsidRPr="00957F7F" w:rsidRDefault="00BF2245" w:rsidP="00B947DB">
            <w:pPr>
              <w:spacing w:before="120" w:after="120"/>
              <w:rPr>
                <w:rFonts w:ascii="Arial" w:hAnsi="Arial" w:cs="Arial"/>
                <w:sz w:val="28"/>
                <w:szCs w:val="28"/>
              </w:rPr>
            </w:pPr>
            <w:r w:rsidRPr="007756FD">
              <w:rPr>
                <w:rFonts w:ascii="Arial" w:hAnsi="Arial" w:cs="Arial"/>
                <w:bCs/>
                <w:i/>
                <w:iCs/>
                <w:color w:val="000000"/>
                <w:sz w:val="28"/>
                <w:szCs w:val="28"/>
              </w:rPr>
              <w:t xml:space="preserve">SB 188, SEC. </w:t>
            </w:r>
            <w:r>
              <w:rPr>
                <w:rFonts w:ascii="Arial" w:hAnsi="Arial" w:cs="Arial"/>
                <w:bCs/>
                <w:i/>
                <w:iCs/>
                <w:color w:val="000000"/>
                <w:sz w:val="28"/>
                <w:szCs w:val="28"/>
              </w:rPr>
              <w:t>3</w:t>
            </w:r>
            <w:r w:rsidR="00A127D7">
              <w:rPr>
                <w:rFonts w:ascii="Arial" w:hAnsi="Arial" w:cs="Arial"/>
                <w:bCs/>
                <w:i/>
                <w:iCs/>
                <w:color w:val="000000"/>
                <w:sz w:val="28"/>
                <w:szCs w:val="28"/>
              </w:rPr>
              <w:t>0</w:t>
            </w:r>
            <w:r>
              <w:rPr>
                <w:rFonts w:ascii="Arial" w:hAnsi="Arial" w:cs="Arial"/>
                <w:bCs/>
                <w:i/>
                <w:iCs/>
                <w:color w:val="000000"/>
                <w:sz w:val="28"/>
                <w:szCs w:val="28"/>
              </w:rPr>
              <w:t>, 41</w:t>
            </w:r>
          </w:p>
        </w:tc>
        <w:tc>
          <w:tcPr>
            <w:tcW w:w="2459" w:type="dxa"/>
          </w:tcPr>
          <w:p w14:paraId="3CC73735" w14:textId="1D6E1A27" w:rsidR="004417E3" w:rsidRPr="00957F7F" w:rsidRDefault="004417E3" w:rsidP="00B947DB">
            <w:pPr>
              <w:spacing w:before="120" w:after="120"/>
              <w:rPr>
                <w:rFonts w:ascii="Arial" w:hAnsi="Arial" w:cs="Arial"/>
                <w:sz w:val="28"/>
                <w:szCs w:val="28"/>
              </w:rPr>
            </w:pPr>
            <w:r w:rsidRPr="00957F7F">
              <w:rPr>
                <w:rFonts w:ascii="Arial" w:hAnsi="Arial" w:cs="Arial"/>
                <w:sz w:val="28"/>
                <w:szCs w:val="28"/>
              </w:rPr>
              <w:t>March 1, 2023</w:t>
            </w:r>
          </w:p>
        </w:tc>
      </w:tr>
      <w:tr w:rsidR="004417E3" w:rsidRPr="008A457F" w14:paraId="08251DB3" w14:textId="77777777" w:rsidTr="000744E8">
        <w:trPr>
          <w:trHeight w:val="350"/>
          <w:jc w:val="center"/>
        </w:trPr>
        <w:tc>
          <w:tcPr>
            <w:tcW w:w="5845" w:type="dxa"/>
          </w:tcPr>
          <w:p w14:paraId="72AB9EA3" w14:textId="56AB9301"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 xml:space="preserve">Informal Meetings are Required When Requested by </w:t>
            </w:r>
            <w:r w:rsidR="003175C8">
              <w:rPr>
                <w:rFonts w:ascii="Arial" w:eastAsia="+mn-ea" w:hAnsi="Arial" w:cs="Arial"/>
                <w:b/>
                <w:iCs/>
                <w:color w:val="000000" w:themeColor="text1"/>
                <w:kern w:val="24"/>
                <w:sz w:val="28"/>
                <w:szCs w:val="28"/>
              </w:rPr>
              <w:t>the Claimant</w:t>
            </w:r>
            <w:r w:rsidRPr="00957F7F">
              <w:rPr>
                <w:rFonts w:ascii="Arial" w:eastAsia="+mn-ea" w:hAnsi="Arial" w:cs="Arial"/>
                <w:b/>
                <w:iCs/>
                <w:color w:val="000000" w:themeColor="text1"/>
                <w:kern w:val="24"/>
                <w:sz w:val="28"/>
                <w:szCs w:val="28"/>
              </w:rPr>
              <w:t>; Regional Center Can Accept or Decline Mediation</w:t>
            </w:r>
          </w:p>
          <w:p w14:paraId="30E34CBC" w14:textId="77777777" w:rsidR="004417E3" w:rsidRDefault="004417E3" w:rsidP="00B947DB">
            <w:pPr>
              <w:spacing w:before="120" w:after="120"/>
              <w:rPr>
                <w:rFonts w:ascii="Arial" w:hAnsi="Arial" w:cs="Arial"/>
                <w:i/>
                <w:sz w:val="28"/>
                <w:szCs w:val="28"/>
              </w:rPr>
            </w:pPr>
            <w:r w:rsidRPr="00957F7F">
              <w:rPr>
                <w:rFonts w:ascii="Arial" w:eastAsia="+mn-ea" w:hAnsi="Arial" w:cs="Arial"/>
                <w:i/>
                <w:iCs/>
                <w:color w:val="000000" w:themeColor="text1"/>
                <w:kern w:val="24"/>
                <w:sz w:val="28"/>
                <w:szCs w:val="28"/>
              </w:rPr>
              <w:t xml:space="preserve">Welfare &amp; Institutions Code Sections 4710.6, </w:t>
            </w:r>
            <w:r w:rsidRPr="00957F7F">
              <w:rPr>
                <w:rFonts w:ascii="Arial" w:hAnsi="Arial" w:cs="Arial"/>
                <w:i/>
                <w:sz w:val="28"/>
                <w:szCs w:val="28"/>
              </w:rPr>
              <w:t>4711.5(a)</w:t>
            </w:r>
          </w:p>
          <w:p w14:paraId="20B0AB01" w14:textId="3D884C48" w:rsidR="00F779CB" w:rsidRPr="004417E3" w:rsidRDefault="00F779CB" w:rsidP="00B947DB">
            <w:pPr>
              <w:spacing w:before="120" w:after="120"/>
              <w:rPr>
                <w:rFonts w:ascii="Arial" w:hAnsi="Arial" w:cs="Arial"/>
                <w:i/>
                <w:sz w:val="28"/>
                <w:szCs w:val="28"/>
              </w:rPr>
            </w:pPr>
          </w:p>
        </w:tc>
        <w:tc>
          <w:tcPr>
            <w:tcW w:w="6120" w:type="dxa"/>
          </w:tcPr>
          <w:p w14:paraId="46CCC9CC" w14:textId="620B4AD2" w:rsidR="004417E3" w:rsidRDefault="004417E3" w:rsidP="00B947DB">
            <w:pPr>
              <w:tabs>
                <w:tab w:val="left" w:pos="982"/>
              </w:tabs>
              <w:spacing w:before="120" w:after="120"/>
              <w:rPr>
                <w:rFonts w:ascii="Arial" w:hAnsi="Arial" w:cs="Arial"/>
                <w:sz w:val="28"/>
                <w:szCs w:val="28"/>
              </w:rPr>
            </w:pPr>
            <w:r w:rsidRPr="00957F7F">
              <w:rPr>
                <w:rFonts w:ascii="Arial" w:hAnsi="Arial" w:cs="Arial"/>
                <w:sz w:val="28"/>
                <w:szCs w:val="28"/>
              </w:rPr>
              <w:t xml:space="preserve">Both Informal Meetings and Mediation </w:t>
            </w:r>
            <w:proofErr w:type="gramStart"/>
            <w:r w:rsidRPr="00957F7F">
              <w:rPr>
                <w:rFonts w:ascii="Arial" w:hAnsi="Arial" w:cs="Arial"/>
                <w:sz w:val="28"/>
                <w:szCs w:val="28"/>
              </w:rPr>
              <w:t>is</w:t>
            </w:r>
            <w:proofErr w:type="gramEnd"/>
            <w:r w:rsidRPr="00957F7F">
              <w:rPr>
                <w:rFonts w:ascii="Arial" w:hAnsi="Arial" w:cs="Arial"/>
                <w:sz w:val="28"/>
                <w:szCs w:val="28"/>
              </w:rPr>
              <w:t xml:space="preserve"> Mandatory for the Regional Center When Requested by the </w:t>
            </w:r>
            <w:r w:rsidR="00F779CB">
              <w:rPr>
                <w:rFonts w:ascii="Arial" w:hAnsi="Arial" w:cs="Arial"/>
                <w:sz w:val="28"/>
                <w:szCs w:val="28"/>
              </w:rPr>
              <w:t>Claimant</w:t>
            </w:r>
          </w:p>
          <w:p w14:paraId="088F078F" w14:textId="23D57F4B" w:rsidR="00A127D7" w:rsidRPr="00957F7F" w:rsidRDefault="00A127D7" w:rsidP="00B947DB">
            <w:pPr>
              <w:tabs>
                <w:tab w:val="left" w:pos="982"/>
              </w:tabs>
              <w:spacing w:before="120" w:after="120"/>
              <w:rPr>
                <w:rFonts w:ascii="Arial" w:hAnsi="Arial" w:cs="Arial"/>
                <w:sz w:val="28"/>
                <w:szCs w:val="28"/>
              </w:rPr>
            </w:pPr>
            <w:r w:rsidRPr="007756FD">
              <w:rPr>
                <w:rFonts w:ascii="Arial" w:hAnsi="Arial" w:cs="Arial"/>
                <w:bCs/>
                <w:i/>
                <w:iCs/>
                <w:color w:val="000000"/>
                <w:sz w:val="28"/>
                <w:szCs w:val="28"/>
              </w:rPr>
              <w:t xml:space="preserve">SB 188, SEC. </w:t>
            </w:r>
            <w:r w:rsidR="00D96F4B">
              <w:rPr>
                <w:rFonts w:ascii="Arial" w:hAnsi="Arial" w:cs="Arial"/>
                <w:bCs/>
                <w:i/>
                <w:iCs/>
                <w:color w:val="000000"/>
                <w:sz w:val="28"/>
                <w:szCs w:val="28"/>
              </w:rPr>
              <w:t>43</w:t>
            </w:r>
            <w:r>
              <w:rPr>
                <w:rFonts w:ascii="Arial" w:hAnsi="Arial" w:cs="Arial"/>
                <w:bCs/>
                <w:i/>
                <w:iCs/>
                <w:color w:val="000000"/>
                <w:sz w:val="28"/>
                <w:szCs w:val="28"/>
              </w:rPr>
              <w:t xml:space="preserve">, </w:t>
            </w:r>
            <w:r w:rsidR="00A81FDA">
              <w:rPr>
                <w:rFonts w:ascii="Arial" w:hAnsi="Arial" w:cs="Arial"/>
                <w:bCs/>
                <w:i/>
                <w:iCs/>
                <w:color w:val="000000"/>
                <w:sz w:val="28"/>
                <w:szCs w:val="28"/>
              </w:rPr>
              <w:t>53</w:t>
            </w:r>
          </w:p>
        </w:tc>
        <w:tc>
          <w:tcPr>
            <w:tcW w:w="2459" w:type="dxa"/>
          </w:tcPr>
          <w:p w14:paraId="349D0DBF" w14:textId="79C66363" w:rsidR="004417E3" w:rsidRPr="00957F7F" w:rsidRDefault="004417E3" w:rsidP="00B947DB">
            <w:pPr>
              <w:tabs>
                <w:tab w:val="left" w:pos="982"/>
              </w:tabs>
              <w:spacing w:before="120" w:after="120"/>
              <w:rPr>
                <w:rFonts w:ascii="Arial" w:hAnsi="Arial" w:cs="Arial"/>
                <w:sz w:val="28"/>
                <w:szCs w:val="28"/>
              </w:rPr>
            </w:pPr>
            <w:r w:rsidRPr="00957F7F">
              <w:rPr>
                <w:rFonts w:ascii="Arial" w:hAnsi="Arial" w:cs="Arial"/>
                <w:sz w:val="28"/>
                <w:szCs w:val="28"/>
              </w:rPr>
              <w:t>March 1, 2023</w:t>
            </w:r>
          </w:p>
        </w:tc>
      </w:tr>
      <w:tr w:rsidR="004417E3" w:rsidRPr="008A457F" w14:paraId="78F30ED1" w14:textId="77777777" w:rsidTr="000744E8">
        <w:trPr>
          <w:trHeight w:val="350"/>
          <w:jc w:val="center"/>
        </w:trPr>
        <w:tc>
          <w:tcPr>
            <w:tcW w:w="14424" w:type="dxa"/>
            <w:gridSpan w:val="3"/>
            <w:shd w:val="clear" w:color="auto" w:fill="D0CECE" w:themeFill="background2" w:themeFillShade="E6"/>
          </w:tcPr>
          <w:p w14:paraId="00FCAFDB" w14:textId="4A579924" w:rsidR="004417E3" w:rsidRPr="00957F7F" w:rsidRDefault="004417E3" w:rsidP="00B947DB">
            <w:pPr>
              <w:tabs>
                <w:tab w:val="left" w:pos="982"/>
              </w:tabs>
              <w:spacing w:before="120" w:after="120"/>
              <w:rPr>
                <w:rFonts w:ascii="Arial" w:hAnsi="Arial" w:cs="Arial"/>
                <w:b/>
                <w:sz w:val="28"/>
                <w:szCs w:val="28"/>
              </w:rPr>
            </w:pPr>
            <w:r w:rsidRPr="00957F7F">
              <w:rPr>
                <w:rFonts w:ascii="Arial" w:hAnsi="Arial" w:cs="Arial"/>
                <w:b/>
                <w:sz w:val="28"/>
                <w:szCs w:val="28"/>
              </w:rPr>
              <w:t>Fair Hearing</w:t>
            </w:r>
          </w:p>
        </w:tc>
      </w:tr>
      <w:tr w:rsidR="004417E3" w:rsidRPr="008A457F" w14:paraId="4414175E" w14:textId="77777777" w:rsidTr="000744E8">
        <w:trPr>
          <w:trHeight w:val="350"/>
          <w:jc w:val="center"/>
        </w:trPr>
        <w:tc>
          <w:tcPr>
            <w:tcW w:w="5845" w:type="dxa"/>
          </w:tcPr>
          <w:p w14:paraId="7D2C1609" w14:textId="22DF8158"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Current Law</w:t>
            </w:r>
          </w:p>
        </w:tc>
        <w:tc>
          <w:tcPr>
            <w:tcW w:w="6120" w:type="dxa"/>
          </w:tcPr>
          <w:p w14:paraId="1F56474A" w14:textId="7371CCCE" w:rsidR="004417E3" w:rsidRPr="00957F7F" w:rsidRDefault="004417E3" w:rsidP="00B947DB">
            <w:pPr>
              <w:tabs>
                <w:tab w:val="left" w:pos="982"/>
              </w:tabs>
              <w:spacing w:before="120" w:after="120"/>
              <w:rPr>
                <w:rFonts w:ascii="Arial" w:hAnsi="Arial" w:cs="Arial"/>
                <w:sz w:val="28"/>
                <w:szCs w:val="28"/>
              </w:rPr>
            </w:pPr>
            <w:r w:rsidRPr="00957F7F">
              <w:rPr>
                <w:rFonts w:ascii="Arial" w:hAnsi="Arial" w:cs="Arial"/>
                <w:b/>
                <w:bCs/>
                <w:color w:val="000000"/>
                <w:sz w:val="28"/>
                <w:szCs w:val="28"/>
              </w:rPr>
              <w:t>New Law</w:t>
            </w:r>
          </w:p>
        </w:tc>
        <w:tc>
          <w:tcPr>
            <w:tcW w:w="2459" w:type="dxa"/>
          </w:tcPr>
          <w:p w14:paraId="4BF9AAA3" w14:textId="6FCAF1BF" w:rsidR="004417E3" w:rsidRPr="00957F7F" w:rsidRDefault="004417E3" w:rsidP="00B947DB">
            <w:pPr>
              <w:tabs>
                <w:tab w:val="left" w:pos="982"/>
              </w:tabs>
              <w:spacing w:before="120" w:after="120"/>
              <w:rPr>
                <w:rFonts w:ascii="Arial" w:hAnsi="Arial" w:cs="Arial"/>
                <w:sz w:val="28"/>
                <w:szCs w:val="28"/>
              </w:rPr>
            </w:pPr>
            <w:r w:rsidRPr="00957F7F">
              <w:rPr>
                <w:rFonts w:ascii="Arial" w:hAnsi="Arial" w:cs="Arial"/>
                <w:b/>
                <w:bCs/>
                <w:color w:val="000000"/>
                <w:sz w:val="28"/>
                <w:szCs w:val="28"/>
              </w:rPr>
              <w:t>Effective Date</w:t>
            </w:r>
          </w:p>
        </w:tc>
      </w:tr>
      <w:tr w:rsidR="004417E3" w:rsidRPr="008A457F" w14:paraId="7739F0F7" w14:textId="77777777" w:rsidTr="000744E8">
        <w:trPr>
          <w:trHeight w:val="350"/>
          <w:jc w:val="center"/>
        </w:trPr>
        <w:tc>
          <w:tcPr>
            <w:tcW w:w="5845" w:type="dxa"/>
          </w:tcPr>
          <w:p w14:paraId="5E4368E4" w14:textId="50A1DA9C"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Witness List and Evidence Packet Exchanged At Least 5 Days Before Hearing</w:t>
            </w:r>
          </w:p>
          <w:p w14:paraId="5B1BDDAD" w14:textId="14D4FB3D" w:rsidR="004417E3" w:rsidRPr="00957F7F" w:rsidRDefault="004417E3" w:rsidP="00B947DB">
            <w:pPr>
              <w:spacing w:before="120" w:after="120"/>
              <w:rPr>
                <w:rFonts w:ascii="Arial" w:hAnsi="Arial" w:cs="Arial"/>
                <w:i/>
                <w:sz w:val="28"/>
                <w:szCs w:val="28"/>
              </w:rPr>
            </w:pPr>
            <w:r w:rsidRPr="00957F7F">
              <w:rPr>
                <w:rFonts w:ascii="Arial" w:eastAsia="+mn-ea" w:hAnsi="Arial" w:cs="Arial"/>
                <w:i/>
                <w:iCs/>
                <w:color w:val="000000" w:themeColor="text1"/>
                <w:kern w:val="24"/>
                <w:sz w:val="28"/>
                <w:szCs w:val="28"/>
              </w:rPr>
              <w:t xml:space="preserve">Welfare &amp; Institutions Code Section </w:t>
            </w:r>
            <w:r w:rsidRPr="00957F7F">
              <w:rPr>
                <w:rFonts w:ascii="Arial" w:hAnsi="Arial" w:cs="Arial"/>
                <w:i/>
                <w:sz w:val="28"/>
                <w:szCs w:val="28"/>
              </w:rPr>
              <w:t>4712(d)</w:t>
            </w:r>
          </w:p>
          <w:p w14:paraId="5714106F" w14:textId="77777777" w:rsidR="004417E3" w:rsidRPr="00957F7F" w:rsidRDefault="004417E3" w:rsidP="00B947DB">
            <w:pPr>
              <w:spacing w:before="120" w:after="120"/>
              <w:rPr>
                <w:rFonts w:ascii="Arial" w:hAnsi="Arial" w:cs="Arial"/>
                <w:sz w:val="14"/>
                <w:szCs w:val="14"/>
              </w:rPr>
            </w:pPr>
          </w:p>
        </w:tc>
        <w:tc>
          <w:tcPr>
            <w:tcW w:w="6120" w:type="dxa"/>
          </w:tcPr>
          <w:p w14:paraId="761C3C1C" w14:textId="3B8DC07E" w:rsidR="004417E3" w:rsidRPr="00957F7F" w:rsidRDefault="004417E3" w:rsidP="00B947DB">
            <w:pPr>
              <w:tabs>
                <w:tab w:val="left" w:pos="982"/>
              </w:tabs>
              <w:spacing w:before="120" w:after="120"/>
              <w:rPr>
                <w:rFonts w:ascii="Arial" w:hAnsi="Arial" w:cs="Arial"/>
                <w:sz w:val="28"/>
                <w:szCs w:val="28"/>
              </w:rPr>
            </w:pPr>
            <w:r w:rsidRPr="00957F7F">
              <w:rPr>
                <w:rFonts w:ascii="Arial" w:hAnsi="Arial" w:cs="Arial"/>
                <w:sz w:val="28"/>
                <w:szCs w:val="28"/>
              </w:rPr>
              <w:t xml:space="preserve">(1) </w:t>
            </w:r>
            <w:r w:rsidRPr="00957F7F">
              <w:rPr>
                <w:rFonts w:ascii="Arial" w:hAnsi="Arial" w:cs="Arial"/>
                <w:i/>
                <w:iCs/>
                <w:sz w:val="28"/>
                <w:szCs w:val="28"/>
              </w:rPr>
              <w:t xml:space="preserve">Service Agency: </w:t>
            </w:r>
            <w:r w:rsidRPr="00957F7F">
              <w:rPr>
                <w:rFonts w:ascii="Arial" w:hAnsi="Arial" w:cs="Arial"/>
                <w:sz w:val="28"/>
                <w:szCs w:val="28"/>
              </w:rPr>
              <w:t xml:space="preserve">Sends claimant position statement in their preferred language 2 business days before the hearing. The position statement summarizes the facts of the case </w:t>
            </w:r>
            <w:r w:rsidR="000744E8">
              <w:rPr>
                <w:rFonts w:ascii="Arial" w:hAnsi="Arial" w:cs="Arial"/>
                <w:sz w:val="28"/>
                <w:szCs w:val="28"/>
              </w:rPr>
              <w:t xml:space="preserve">and </w:t>
            </w:r>
            <w:r w:rsidRPr="00957F7F">
              <w:rPr>
                <w:rFonts w:ascii="Arial" w:hAnsi="Arial" w:cs="Arial"/>
                <w:sz w:val="28"/>
                <w:szCs w:val="28"/>
              </w:rPr>
              <w:t xml:space="preserve">justification </w:t>
            </w:r>
            <w:r>
              <w:rPr>
                <w:rFonts w:ascii="Arial" w:hAnsi="Arial" w:cs="Arial"/>
                <w:sz w:val="28"/>
                <w:szCs w:val="28"/>
              </w:rPr>
              <w:t>for</w:t>
            </w:r>
            <w:r w:rsidRPr="00957F7F">
              <w:rPr>
                <w:rFonts w:ascii="Arial" w:hAnsi="Arial" w:cs="Arial"/>
                <w:sz w:val="28"/>
                <w:szCs w:val="28"/>
              </w:rPr>
              <w:t xml:space="preserve"> the service agency’s actions</w:t>
            </w:r>
            <w:r>
              <w:rPr>
                <w:rFonts w:ascii="Arial" w:hAnsi="Arial" w:cs="Arial"/>
                <w:sz w:val="28"/>
                <w:szCs w:val="28"/>
              </w:rPr>
              <w:t xml:space="preserve">. It also </w:t>
            </w:r>
            <w:r w:rsidRPr="00957F7F">
              <w:rPr>
                <w:rFonts w:ascii="Arial" w:hAnsi="Arial" w:cs="Arial"/>
                <w:sz w:val="28"/>
                <w:szCs w:val="28"/>
              </w:rPr>
              <w:t>include</w:t>
            </w:r>
            <w:r>
              <w:rPr>
                <w:rFonts w:ascii="Arial" w:hAnsi="Arial" w:cs="Arial"/>
                <w:sz w:val="28"/>
                <w:szCs w:val="28"/>
              </w:rPr>
              <w:t xml:space="preserve">s </w:t>
            </w:r>
            <w:proofErr w:type="gramStart"/>
            <w:r>
              <w:rPr>
                <w:rFonts w:ascii="Arial" w:hAnsi="Arial" w:cs="Arial"/>
                <w:sz w:val="28"/>
                <w:szCs w:val="28"/>
              </w:rPr>
              <w:t>witness</w:t>
            </w:r>
            <w:proofErr w:type="gramEnd"/>
            <w:r>
              <w:rPr>
                <w:rFonts w:ascii="Arial" w:hAnsi="Arial" w:cs="Arial"/>
                <w:sz w:val="28"/>
                <w:szCs w:val="28"/>
              </w:rPr>
              <w:t xml:space="preserve"> list</w:t>
            </w:r>
            <w:r w:rsidRPr="00957F7F">
              <w:rPr>
                <w:rFonts w:ascii="Arial" w:hAnsi="Arial" w:cs="Arial"/>
                <w:sz w:val="28"/>
                <w:szCs w:val="28"/>
              </w:rPr>
              <w:t>, the general subject of the testimony of each witness, and copies of documentary evidence</w:t>
            </w:r>
            <w:r>
              <w:rPr>
                <w:rFonts w:ascii="Arial" w:hAnsi="Arial" w:cs="Arial"/>
                <w:sz w:val="28"/>
                <w:szCs w:val="28"/>
              </w:rPr>
              <w:t>.</w:t>
            </w:r>
          </w:p>
          <w:p w14:paraId="3F7778F6" w14:textId="5F1BAB5D" w:rsidR="004417E3" w:rsidRPr="00957F7F" w:rsidRDefault="004417E3" w:rsidP="00B947DB">
            <w:pPr>
              <w:tabs>
                <w:tab w:val="left" w:pos="982"/>
              </w:tabs>
              <w:spacing w:before="120" w:after="120"/>
              <w:rPr>
                <w:rFonts w:ascii="Arial" w:hAnsi="Arial" w:cs="Arial"/>
                <w:sz w:val="28"/>
                <w:szCs w:val="28"/>
              </w:rPr>
            </w:pPr>
            <w:r w:rsidRPr="00957F7F">
              <w:rPr>
                <w:rFonts w:ascii="Arial" w:hAnsi="Arial" w:cs="Arial"/>
                <w:sz w:val="28"/>
                <w:szCs w:val="28"/>
              </w:rPr>
              <w:t xml:space="preserve">(2) </w:t>
            </w:r>
            <w:r w:rsidRPr="00957F7F">
              <w:rPr>
                <w:rFonts w:ascii="Arial" w:hAnsi="Arial" w:cs="Arial"/>
                <w:i/>
                <w:iCs/>
                <w:sz w:val="28"/>
                <w:szCs w:val="28"/>
              </w:rPr>
              <w:t>Represented Claimant</w:t>
            </w:r>
            <w:r w:rsidRPr="00957F7F">
              <w:rPr>
                <w:rFonts w:ascii="Arial" w:hAnsi="Arial" w:cs="Arial"/>
                <w:sz w:val="28"/>
                <w:szCs w:val="28"/>
              </w:rPr>
              <w:t xml:space="preserve">: </w:t>
            </w:r>
            <w:r>
              <w:rPr>
                <w:rFonts w:ascii="Arial" w:hAnsi="Arial" w:cs="Arial"/>
                <w:sz w:val="28"/>
                <w:szCs w:val="28"/>
              </w:rPr>
              <w:t>Similar</w:t>
            </w:r>
            <w:r w:rsidRPr="00957F7F">
              <w:rPr>
                <w:rFonts w:ascii="Arial" w:hAnsi="Arial" w:cs="Arial"/>
                <w:sz w:val="28"/>
                <w:szCs w:val="28"/>
              </w:rPr>
              <w:t xml:space="preserve"> standard as service agency</w:t>
            </w:r>
            <w:r>
              <w:rPr>
                <w:rFonts w:ascii="Arial" w:hAnsi="Arial" w:cs="Arial"/>
                <w:sz w:val="28"/>
                <w:szCs w:val="28"/>
              </w:rPr>
              <w:t>. S</w:t>
            </w:r>
            <w:r w:rsidRPr="00957F7F">
              <w:rPr>
                <w:rFonts w:ascii="Arial" w:hAnsi="Arial" w:cs="Arial"/>
                <w:sz w:val="28"/>
                <w:szCs w:val="28"/>
              </w:rPr>
              <w:t>end</w:t>
            </w:r>
            <w:r>
              <w:rPr>
                <w:rFonts w:ascii="Arial" w:hAnsi="Arial" w:cs="Arial"/>
                <w:sz w:val="28"/>
                <w:szCs w:val="28"/>
              </w:rPr>
              <w:t>s</w:t>
            </w:r>
            <w:r w:rsidRPr="00957F7F">
              <w:rPr>
                <w:rFonts w:ascii="Arial" w:hAnsi="Arial" w:cs="Arial"/>
                <w:sz w:val="28"/>
                <w:szCs w:val="28"/>
              </w:rPr>
              <w:t xml:space="preserve"> position statement 2 business days before the hearing with </w:t>
            </w:r>
            <w:r w:rsidR="000744E8">
              <w:rPr>
                <w:rFonts w:ascii="Arial" w:hAnsi="Arial" w:cs="Arial"/>
                <w:sz w:val="28"/>
                <w:szCs w:val="28"/>
              </w:rPr>
              <w:t xml:space="preserve">a </w:t>
            </w:r>
            <w:r w:rsidRPr="00957F7F">
              <w:rPr>
                <w:rFonts w:ascii="Arial" w:hAnsi="Arial" w:cs="Arial"/>
                <w:sz w:val="28"/>
                <w:szCs w:val="28"/>
              </w:rPr>
              <w:t>witnesses</w:t>
            </w:r>
            <w:r w:rsidR="000744E8">
              <w:rPr>
                <w:rFonts w:ascii="Arial" w:hAnsi="Arial" w:cs="Arial"/>
                <w:sz w:val="28"/>
                <w:szCs w:val="28"/>
              </w:rPr>
              <w:t xml:space="preserve"> list</w:t>
            </w:r>
            <w:r w:rsidRPr="00957F7F">
              <w:rPr>
                <w:rFonts w:ascii="Arial" w:hAnsi="Arial" w:cs="Arial"/>
                <w:sz w:val="28"/>
                <w:szCs w:val="28"/>
              </w:rPr>
              <w:t xml:space="preserve"> and documentary evidence.</w:t>
            </w:r>
          </w:p>
          <w:p w14:paraId="30748678" w14:textId="77777777" w:rsidR="004417E3" w:rsidRDefault="004417E3" w:rsidP="00B947DB">
            <w:pPr>
              <w:tabs>
                <w:tab w:val="left" w:pos="982"/>
              </w:tabs>
              <w:spacing w:before="120" w:after="120"/>
              <w:rPr>
                <w:rFonts w:ascii="Arial" w:hAnsi="Arial" w:cs="Arial"/>
                <w:sz w:val="28"/>
                <w:szCs w:val="28"/>
              </w:rPr>
            </w:pPr>
            <w:r w:rsidRPr="00957F7F">
              <w:rPr>
                <w:rFonts w:ascii="Arial" w:hAnsi="Arial" w:cs="Arial"/>
                <w:sz w:val="28"/>
                <w:szCs w:val="28"/>
              </w:rPr>
              <w:t xml:space="preserve">(2) </w:t>
            </w:r>
            <w:r w:rsidRPr="00957F7F">
              <w:rPr>
                <w:rFonts w:ascii="Arial" w:hAnsi="Arial" w:cs="Arial"/>
                <w:i/>
                <w:iCs/>
                <w:sz w:val="28"/>
                <w:szCs w:val="28"/>
              </w:rPr>
              <w:t>Unrepresented Claimant</w:t>
            </w:r>
            <w:r w:rsidRPr="00957F7F">
              <w:rPr>
                <w:rFonts w:ascii="Arial" w:hAnsi="Arial" w:cs="Arial"/>
                <w:sz w:val="28"/>
                <w:szCs w:val="28"/>
              </w:rPr>
              <w:t xml:space="preserve">: No position statement required. </w:t>
            </w:r>
            <w:r w:rsidR="00773E8C">
              <w:rPr>
                <w:rFonts w:ascii="Arial" w:hAnsi="Arial" w:cs="Arial"/>
                <w:sz w:val="28"/>
                <w:szCs w:val="28"/>
              </w:rPr>
              <w:t xml:space="preserve">2 business days before the hearing, must </w:t>
            </w:r>
            <w:r w:rsidRPr="00957F7F">
              <w:rPr>
                <w:rFonts w:ascii="Arial" w:hAnsi="Arial" w:cs="Arial"/>
                <w:sz w:val="28"/>
                <w:szCs w:val="28"/>
              </w:rPr>
              <w:t>send a list of intended witnesses with a brief description of their relationship to the claimant and copies of any professional assessments or reports related to eligibility or services that the claimant intends to use at hearing. The claimant can provide all other intended documentary evidence at or before the hearing.</w:t>
            </w:r>
          </w:p>
          <w:p w14:paraId="15B21027" w14:textId="16500179" w:rsidR="005E5845" w:rsidRPr="00957F7F" w:rsidRDefault="005E5845" w:rsidP="00B947DB">
            <w:pPr>
              <w:tabs>
                <w:tab w:val="left" w:pos="982"/>
              </w:tabs>
              <w:spacing w:before="120" w:after="120"/>
              <w:rPr>
                <w:rFonts w:ascii="Arial" w:hAnsi="Arial" w:cs="Arial"/>
                <w:sz w:val="28"/>
                <w:szCs w:val="28"/>
              </w:rPr>
            </w:pPr>
            <w:r w:rsidRPr="007756FD">
              <w:rPr>
                <w:rFonts w:ascii="Arial" w:hAnsi="Arial" w:cs="Arial"/>
                <w:bCs/>
                <w:i/>
                <w:iCs/>
                <w:color w:val="000000"/>
                <w:sz w:val="28"/>
                <w:szCs w:val="28"/>
              </w:rPr>
              <w:t xml:space="preserve">SB 188, SEC. </w:t>
            </w:r>
            <w:r w:rsidR="007104F1">
              <w:rPr>
                <w:rFonts w:ascii="Arial" w:hAnsi="Arial" w:cs="Arial"/>
                <w:bCs/>
                <w:i/>
                <w:iCs/>
                <w:color w:val="000000"/>
                <w:sz w:val="28"/>
                <w:szCs w:val="28"/>
              </w:rPr>
              <w:t>57</w:t>
            </w:r>
          </w:p>
        </w:tc>
        <w:tc>
          <w:tcPr>
            <w:tcW w:w="2459" w:type="dxa"/>
          </w:tcPr>
          <w:p w14:paraId="37C76351" w14:textId="55713CC6" w:rsidR="004417E3" w:rsidRPr="00957F7F" w:rsidRDefault="004417E3" w:rsidP="00B947DB">
            <w:pPr>
              <w:tabs>
                <w:tab w:val="left" w:pos="982"/>
              </w:tabs>
              <w:spacing w:before="120" w:after="120"/>
              <w:rPr>
                <w:rFonts w:ascii="Arial" w:hAnsi="Arial" w:cs="Arial"/>
                <w:sz w:val="28"/>
                <w:szCs w:val="28"/>
              </w:rPr>
            </w:pPr>
            <w:r w:rsidRPr="00957F7F">
              <w:rPr>
                <w:rFonts w:ascii="Arial" w:hAnsi="Arial" w:cs="Arial"/>
                <w:sz w:val="28"/>
                <w:szCs w:val="28"/>
              </w:rPr>
              <w:t>March 1, 2023</w:t>
            </w:r>
          </w:p>
        </w:tc>
      </w:tr>
      <w:tr w:rsidR="004417E3" w:rsidRPr="008A457F" w14:paraId="5BE83997" w14:textId="77777777" w:rsidTr="000744E8">
        <w:trPr>
          <w:trHeight w:val="350"/>
          <w:jc w:val="center"/>
        </w:trPr>
        <w:tc>
          <w:tcPr>
            <w:tcW w:w="5845" w:type="dxa"/>
          </w:tcPr>
          <w:p w14:paraId="3D6CC465" w14:textId="2F3A4DC5"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 xml:space="preserve">Conduct of Hearing Officer: </w:t>
            </w:r>
            <w:r w:rsidRPr="00957F7F">
              <w:rPr>
                <w:rFonts w:ascii="Arial" w:hAnsi="Arial" w:cs="Arial"/>
                <w:sz w:val="28"/>
                <w:szCs w:val="28"/>
              </w:rPr>
              <w:t>The fair hearing need not be conducted according to the technical rules of evidence and those related to witnesses. Any relevant evidence shall be admitted.</w:t>
            </w:r>
          </w:p>
          <w:p w14:paraId="10B72ECF" w14:textId="06BCFC9D" w:rsidR="004417E3" w:rsidRPr="00957F7F" w:rsidRDefault="004417E3" w:rsidP="00B947DB">
            <w:pPr>
              <w:spacing w:before="120" w:after="120"/>
              <w:rPr>
                <w:rFonts w:ascii="Arial" w:hAnsi="Arial" w:cs="Arial"/>
                <w:i/>
                <w:sz w:val="28"/>
                <w:szCs w:val="28"/>
              </w:rPr>
            </w:pPr>
            <w:r w:rsidRPr="00957F7F">
              <w:rPr>
                <w:rFonts w:ascii="Arial" w:eastAsia="+mn-ea" w:hAnsi="Arial" w:cs="Arial"/>
                <w:i/>
                <w:iCs/>
                <w:color w:val="000000" w:themeColor="text1"/>
                <w:kern w:val="24"/>
                <w:sz w:val="28"/>
                <w:szCs w:val="28"/>
              </w:rPr>
              <w:t xml:space="preserve">Welfare &amp; Institutions Code Section </w:t>
            </w:r>
            <w:r w:rsidRPr="00957F7F">
              <w:rPr>
                <w:rFonts w:ascii="Arial" w:hAnsi="Arial" w:cs="Arial"/>
                <w:i/>
                <w:sz w:val="28"/>
                <w:szCs w:val="28"/>
              </w:rPr>
              <w:t>4712(</w:t>
            </w:r>
            <w:proofErr w:type="spellStart"/>
            <w:r w:rsidRPr="00957F7F">
              <w:rPr>
                <w:rFonts w:ascii="Arial" w:hAnsi="Arial" w:cs="Arial"/>
                <w:i/>
                <w:sz w:val="28"/>
                <w:szCs w:val="28"/>
              </w:rPr>
              <w:t>i</w:t>
            </w:r>
            <w:proofErr w:type="spellEnd"/>
            <w:r w:rsidRPr="00957F7F">
              <w:rPr>
                <w:rFonts w:ascii="Arial" w:hAnsi="Arial" w:cs="Arial"/>
                <w:i/>
                <w:sz w:val="28"/>
                <w:szCs w:val="28"/>
              </w:rPr>
              <w:t>)</w:t>
            </w:r>
          </w:p>
          <w:p w14:paraId="5E8B860D" w14:textId="77777777" w:rsidR="004417E3" w:rsidRPr="00957F7F" w:rsidRDefault="004417E3" w:rsidP="00B947DB">
            <w:pPr>
              <w:spacing w:before="120" w:after="120"/>
              <w:rPr>
                <w:rFonts w:ascii="Arial" w:hAnsi="Arial" w:cs="Arial"/>
                <w:sz w:val="14"/>
                <w:szCs w:val="14"/>
              </w:rPr>
            </w:pPr>
          </w:p>
        </w:tc>
        <w:tc>
          <w:tcPr>
            <w:tcW w:w="6120" w:type="dxa"/>
          </w:tcPr>
          <w:p w14:paraId="02218507" w14:textId="77777777" w:rsidR="00B947DB" w:rsidRDefault="00B947DB" w:rsidP="00B947DB">
            <w:pPr>
              <w:tabs>
                <w:tab w:val="left" w:pos="982"/>
              </w:tabs>
              <w:spacing w:before="120" w:after="120"/>
              <w:rPr>
                <w:rFonts w:ascii="Arial" w:hAnsi="Arial" w:cs="Arial"/>
                <w:iCs/>
                <w:sz w:val="28"/>
                <w:szCs w:val="28"/>
              </w:rPr>
            </w:pPr>
            <w:r>
              <w:rPr>
                <w:rFonts w:ascii="Arial" w:hAnsi="Arial" w:cs="Arial"/>
                <w:iCs/>
                <w:sz w:val="28"/>
                <w:szCs w:val="28"/>
              </w:rPr>
              <w:t>Existing law PLUS:</w:t>
            </w:r>
          </w:p>
          <w:p w14:paraId="7BB7FDE8" w14:textId="7A4347AC" w:rsidR="004417E3" w:rsidRPr="00B947DB" w:rsidRDefault="004417E3" w:rsidP="00B947DB">
            <w:pPr>
              <w:pStyle w:val="ListParagraph"/>
              <w:numPr>
                <w:ilvl w:val="0"/>
                <w:numId w:val="12"/>
              </w:numPr>
              <w:tabs>
                <w:tab w:val="left" w:pos="982"/>
              </w:tabs>
              <w:spacing w:before="120" w:after="120"/>
              <w:contextualSpacing w:val="0"/>
              <w:rPr>
                <w:rFonts w:ascii="Arial" w:hAnsi="Arial" w:cs="Arial"/>
                <w:iCs/>
                <w:sz w:val="28"/>
                <w:szCs w:val="28"/>
              </w:rPr>
            </w:pPr>
            <w:r w:rsidRPr="00B947DB">
              <w:rPr>
                <w:rFonts w:ascii="Arial" w:hAnsi="Arial" w:cs="Arial"/>
                <w:iCs/>
                <w:sz w:val="28"/>
                <w:szCs w:val="28"/>
              </w:rPr>
              <w:t xml:space="preserve">The fair hearing shall be conducted in an impartial and informal manner </w:t>
            </w:r>
            <w:proofErr w:type="gramStart"/>
            <w:r w:rsidRPr="00B947DB">
              <w:rPr>
                <w:rFonts w:ascii="Arial" w:hAnsi="Arial" w:cs="Arial"/>
                <w:iCs/>
                <w:sz w:val="28"/>
                <w:szCs w:val="28"/>
              </w:rPr>
              <w:t>in order to</w:t>
            </w:r>
            <w:proofErr w:type="gramEnd"/>
            <w:r w:rsidRPr="00B947DB">
              <w:rPr>
                <w:rFonts w:ascii="Arial" w:hAnsi="Arial" w:cs="Arial"/>
                <w:iCs/>
                <w:sz w:val="28"/>
                <w:szCs w:val="28"/>
              </w:rPr>
              <w:t xml:space="preserve"> encourage the presentation of information and the free and open discussion by participants. </w:t>
            </w:r>
          </w:p>
          <w:p w14:paraId="6FAFA477" w14:textId="77777777" w:rsidR="004417E3" w:rsidRDefault="004417E3" w:rsidP="00B947DB">
            <w:pPr>
              <w:pStyle w:val="ListParagraph"/>
              <w:numPr>
                <w:ilvl w:val="0"/>
                <w:numId w:val="12"/>
              </w:numPr>
              <w:tabs>
                <w:tab w:val="left" w:pos="982"/>
              </w:tabs>
              <w:spacing w:before="120" w:after="120"/>
              <w:contextualSpacing w:val="0"/>
              <w:rPr>
                <w:rFonts w:ascii="Arial" w:hAnsi="Arial" w:cs="Arial"/>
                <w:iCs/>
                <w:sz w:val="28"/>
                <w:szCs w:val="28"/>
              </w:rPr>
            </w:pPr>
            <w:r w:rsidRPr="00B947DB">
              <w:rPr>
                <w:rFonts w:ascii="Arial" w:hAnsi="Arial" w:cs="Arial"/>
                <w:iCs/>
                <w:sz w:val="28"/>
                <w:szCs w:val="28"/>
              </w:rPr>
              <w:t xml:space="preserve">The hearing officer </w:t>
            </w:r>
            <w:r w:rsidR="006D37AF">
              <w:rPr>
                <w:rFonts w:ascii="Arial" w:hAnsi="Arial" w:cs="Arial"/>
                <w:iCs/>
                <w:sz w:val="28"/>
                <w:szCs w:val="28"/>
              </w:rPr>
              <w:t>will engage the parties to bring out the facts and “</w:t>
            </w:r>
            <w:r w:rsidRPr="00B947DB">
              <w:rPr>
                <w:rFonts w:ascii="Arial" w:hAnsi="Arial" w:cs="Arial"/>
                <w:iCs/>
                <w:sz w:val="28"/>
                <w:szCs w:val="28"/>
              </w:rPr>
              <w:t>shall make their best effort to fully and fairly develop the record and create an environment in which all relevant facts, both favorable and unfavorable, are brought out</w:t>
            </w:r>
            <w:r w:rsidR="006D37AF">
              <w:rPr>
                <w:rFonts w:ascii="Arial" w:hAnsi="Arial" w:cs="Arial"/>
                <w:iCs/>
                <w:sz w:val="28"/>
                <w:szCs w:val="28"/>
              </w:rPr>
              <w:t>.”</w:t>
            </w:r>
          </w:p>
          <w:p w14:paraId="163C45E6" w14:textId="40456A1C" w:rsidR="007104F1" w:rsidRPr="007104F1" w:rsidRDefault="007104F1" w:rsidP="007104F1">
            <w:pPr>
              <w:tabs>
                <w:tab w:val="left" w:pos="982"/>
              </w:tabs>
              <w:spacing w:before="120" w:after="120"/>
              <w:rPr>
                <w:rFonts w:ascii="Arial" w:hAnsi="Arial" w:cs="Arial"/>
                <w:iCs/>
                <w:sz w:val="28"/>
                <w:szCs w:val="28"/>
              </w:rPr>
            </w:pPr>
            <w:r w:rsidRPr="007104F1">
              <w:rPr>
                <w:rFonts w:ascii="Arial" w:hAnsi="Arial" w:cs="Arial"/>
                <w:bCs/>
                <w:i/>
                <w:iCs/>
                <w:color w:val="000000"/>
                <w:sz w:val="28"/>
                <w:szCs w:val="28"/>
              </w:rPr>
              <w:t>SB 188, SEC. 57</w:t>
            </w:r>
          </w:p>
        </w:tc>
        <w:tc>
          <w:tcPr>
            <w:tcW w:w="2459" w:type="dxa"/>
          </w:tcPr>
          <w:p w14:paraId="29A28C2C" w14:textId="4FD4636A" w:rsidR="004417E3" w:rsidRPr="00957F7F" w:rsidRDefault="004417E3" w:rsidP="00B947DB">
            <w:pPr>
              <w:tabs>
                <w:tab w:val="left" w:pos="982"/>
              </w:tabs>
              <w:spacing w:before="120" w:after="120"/>
              <w:rPr>
                <w:rFonts w:ascii="Arial" w:hAnsi="Arial" w:cs="Arial"/>
                <w:sz w:val="28"/>
                <w:szCs w:val="28"/>
              </w:rPr>
            </w:pPr>
          </w:p>
        </w:tc>
      </w:tr>
      <w:tr w:rsidR="004417E3" w:rsidRPr="00A27D89" w14:paraId="1D4B9FB7" w14:textId="77777777" w:rsidTr="000744E8">
        <w:trPr>
          <w:trHeight w:val="350"/>
          <w:jc w:val="center"/>
        </w:trPr>
        <w:tc>
          <w:tcPr>
            <w:tcW w:w="14424" w:type="dxa"/>
            <w:gridSpan w:val="3"/>
            <w:shd w:val="clear" w:color="auto" w:fill="D0CECE" w:themeFill="background2" w:themeFillShade="E6"/>
          </w:tcPr>
          <w:p w14:paraId="33F01B14" w14:textId="54F2D154" w:rsidR="004417E3" w:rsidRPr="00957F7F" w:rsidRDefault="004417E3" w:rsidP="00B947DB">
            <w:pPr>
              <w:tabs>
                <w:tab w:val="left" w:pos="982"/>
              </w:tabs>
              <w:spacing w:before="120" w:after="120"/>
              <w:rPr>
                <w:rFonts w:ascii="Arial" w:hAnsi="Arial" w:cs="Arial"/>
                <w:b/>
                <w:sz w:val="28"/>
                <w:szCs w:val="28"/>
              </w:rPr>
            </w:pPr>
            <w:r w:rsidRPr="00957F7F">
              <w:rPr>
                <w:rFonts w:ascii="Arial" w:hAnsi="Arial" w:cs="Arial"/>
                <w:b/>
                <w:sz w:val="28"/>
                <w:szCs w:val="28"/>
              </w:rPr>
              <w:t>After the Hearing</w:t>
            </w:r>
          </w:p>
        </w:tc>
      </w:tr>
      <w:tr w:rsidR="004417E3" w:rsidRPr="008A457F" w14:paraId="4617216B" w14:textId="77777777" w:rsidTr="000744E8">
        <w:trPr>
          <w:trHeight w:val="350"/>
          <w:jc w:val="center"/>
        </w:trPr>
        <w:tc>
          <w:tcPr>
            <w:tcW w:w="5845" w:type="dxa"/>
          </w:tcPr>
          <w:p w14:paraId="4511DEEB" w14:textId="37FE2D52"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Current Law</w:t>
            </w:r>
          </w:p>
        </w:tc>
        <w:tc>
          <w:tcPr>
            <w:tcW w:w="6120" w:type="dxa"/>
          </w:tcPr>
          <w:p w14:paraId="59A1A5FA" w14:textId="55335A0F"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New Law</w:t>
            </w:r>
          </w:p>
        </w:tc>
        <w:tc>
          <w:tcPr>
            <w:tcW w:w="2459" w:type="dxa"/>
          </w:tcPr>
          <w:p w14:paraId="29694209" w14:textId="79704D8F" w:rsidR="004417E3" w:rsidRPr="00957F7F" w:rsidRDefault="004417E3" w:rsidP="00B947DB">
            <w:pPr>
              <w:tabs>
                <w:tab w:val="left" w:pos="982"/>
              </w:tabs>
              <w:spacing w:before="120" w:after="120"/>
              <w:rPr>
                <w:rFonts w:ascii="Arial" w:hAnsi="Arial" w:cs="Arial"/>
                <w:b/>
                <w:sz w:val="28"/>
                <w:szCs w:val="28"/>
              </w:rPr>
            </w:pPr>
            <w:r w:rsidRPr="00957F7F">
              <w:rPr>
                <w:rFonts w:ascii="Arial" w:hAnsi="Arial" w:cs="Arial"/>
                <w:b/>
                <w:sz w:val="28"/>
                <w:szCs w:val="28"/>
              </w:rPr>
              <w:t>Effective Date</w:t>
            </w:r>
          </w:p>
        </w:tc>
      </w:tr>
      <w:tr w:rsidR="004417E3" w:rsidRPr="008A457F" w14:paraId="5004BEE7" w14:textId="77777777" w:rsidTr="000744E8">
        <w:trPr>
          <w:trHeight w:val="350"/>
          <w:jc w:val="center"/>
        </w:trPr>
        <w:tc>
          <w:tcPr>
            <w:tcW w:w="5845" w:type="dxa"/>
          </w:tcPr>
          <w:p w14:paraId="410B714D" w14:textId="61BB7AAB" w:rsidR="004417E3" w:rsidRDefault="004417E3" w:rsidP="00B947DB">
            <w:pPr>
              <w:spacing w:before="120" w:after="120"/>
              <w:rPr>
                <w:rFonts w:ascii="Arial" w:eastAsia="+mn-ea" w:hAnsi="Arial" w:cs="Arial"/>
                <w:b/>
                <w:iCs/>
                <w:color w:val="000000" w:themeColor="text1"/>
                <w:kern w:val="24"/>
                <w:sz w:val="28"/>
                <w:szCs w:val="28"/>
              </w:rPr>
            </w:pPr>
            <w:r>
              <w:rPr>
                <w:rFonts w:ascii="Arial" w:eastAsia="+mn-ea" w:hAnsi="Arial" w:cs="Arial"/>
                <w:b/>
                <w:iCs/>
                <w:color w:val="000000" w:themeColor="text1"/>
                <w:kern w:val="24"/>
                <w:sz w:val="28"/>
                <w:szCs w:val="28"/>
              </w:rPr>
              <w:t xml:space="preserve">Hearing Office Decision is Final; Only Way to Challenge is </w:t>
            </w:r>
            <w:r w:rsidR="00FA48AB">
              <w:rPr>
                <w:rFonts w:ascii="Arial" w:eastAsia="+mn-ea" w:hAnsi="Arial" w:cs="Arial"/>
                <w:b/>
                <w:iCs/>
                <w:color w:val="000000" w:themeColor="text1"/>
                <w:kern w:val="24"/>
                <w:sz w:val="28"/>
                <w:szCs w:val="28"/>
              </w:rPr>
              <w:t>by</w:t>
            </w:r>
            <w:r>
              <w:rPr>
                <w:rFonts w:ascii="Arial" w:eastAsia="+mn-ea" w:hAnsi="Arial" w:cs="Arial"/>
                <w:b/>
                <w:iCs/>
                <w:color w:val="000000" w:themeColor="text1"/>
                <w:kern w:val="24"/>
                <w:sz w:val="28"/>
                <w:szCs w:val="28"/>
              </w:rPr>
              <w:t xml:space="preserve"> Superior Court Appeal</w:t>
            </w:r>
          </w:p>
          <w:p w14:paraId="43EF1B26" w14:textId="696BA71E" w:rsidR="004417E3" w:rsidRPr="00A73109" w:rsidRDefault="004417E3" w:rsidP="00B947DB">
            <w:pPr>
              <w:spacing w:before="120" w:after="120"/>
              <w:rPr>
                <w:rFonts w:ascii="Arial" w:hAnsi="Arial" w:cs="Arial"/>
                <w:i/>
                <w:sz w:val="28"/>
                <w:szCs w:val="28"/>
              </w:rPr>
            </w:pPr>
            <w:r w:rsidRPr="00957F7F">
              <w:rPr>
                <w:rFonts w:ascii="Arial" w:eastAsia="+mn-ea" w:hAnsi="Arial" w:cs="Arial"/>
                <w:i/>
                <w:iCs/>
                <w:color w:val="000000" w:themeColor="text1"/>
                <w:kern w:val="24"/>
                <w:sz w:val="28"/>
                <w:szCs w:val="28"/>
              </w:rPr>
              <w:t xml:space="preserve">Welfare &amp; Institutions Code Section </w:t>
            </w:r>
            <w:r w:rsidRPr="00957F7F">
              <w:rPr>
                <w:rFonts w:ascii="Arial" w:hAnsi="Arial" w:cs="Arial"/>
                <w:i/>
                <w:sz w:val="28"/>
                <w:szCs w:val="28"/>
              </w:rPr>
              <w:t>4712.5(a)</w:t>
            </w:r>
          </w:p>
        </w:tc>
        <w:tc>
          <w:tcPr>
            <w:tcW w:w="6120" w:type="dxa"/>
          </w:tcPr>
          <w:p w14:paraId="641695ED" w14:textId="0591D256" w:rsidR="004417E3" w:rsidRDefault="004417E3" w:rsidP="00B947DB">
            <w:pPr>
              <w:pStyle w:val="ListParagraph"/>
              <w:numPr>
                <w:ilvl w:val="0"/>
                <w:numId w:val="10"/>
              </w:numPr>
              <w:spacing w:before="120" w:after="120"/>
              <w:contextualSpacing w:val="0"/>
              <w:rPr>
                <w:rFonts w:ascii="Arial" w:eastAsia="+mn-ea" w:hAnsi="Arial" w:cs="Arial"/>
                <w:bCs/>
                <w:iCs/>
                <w:color w:val="000000" w:themeColor="text1"/>
                <w:kern w:val="24"/>
                <w:sz w:val="28"/>
                <w:szCs w:val="28"/>
              </w:rPr>
            </w:pPr>
            <w:r w:rsidRPr="00D959EA">
              <w:rPr>
                <w:rFonts w:ascii="Arial" w:eastAsia="+mn-ea" w:hAnsi="Arial" w:cs="Arial"/>
                <w:bCs/>
                <w:iCs/>
                <w:color w:val="000000" w:themeColor="text1"/>
                <w:kern w:val="24"/>
                <w:sz w:val="28"/>
                <w:szCs w:val="28"/>
              </w:rPr>
              <w:t xml:space="preserve">DDS Director </w:t>
            </w:r>
            <w:r>
              <w:rPr>
                <w:rFonts w:ascii="Arial" w:eastAsia="+mn-ea" w:hAnsi="Arial" w:cs="Arial"/>
                <w:bCs/>
                <w:iCs/>
                <w:color w:val="000000" w:themeColor="text1"/>
                <w:kern w:val="24"/>
                <w:sz w:val="28"/>
                <w:szCs w:val="28"/>
              </w:rPr>
              <w:t>h</w:t>
            </w:r>
            <w:r w:rsidRPr="00D959EA">
              <w:rPr>
                <w:rFonts w:ascii="Arial" w:eastAsia="+mn-ea" w:hAnsi="Arial" w:cs="Arial"/>
                <w:bCs/>
                <w:iCs/>
                <w:color w:val="000000" w:themeColor="text1"/>
                <w:kern w:val="24"/>
                <w:sz w:val="28"/>
                <w:szCs w:val="28"/>
              </w:rPr>
              <w:t xml:space="preserve">as the </w:t>
            </w:r>
            <w:r>
              <w:rPr>
                <w:rFonts w:ascii="Arial" w:eastAsia="+mn-ea" w:hAnsi="Arial" w:cs="Arial"/>
                <w:bCs/>
                <w:iCs/>
                <w:color w:val="000000" w:themeColor="text1"/>
                <w:kern w:val="24"/>
                <w:sz w:val="28"/>
                <w:szCs w:val="28"/>
              </w:rPr>
              <w:t>a</w:t>
            </w:r>
            <w:r w:rsidRPr="00D959EA">
              <w:rPr>
                <w:rFonts w:ascii="Arial" w:eastAsia="+mn-ea" w:hAnsi="Arial" w:cs="Arial"/>
                <w:bCs/>
                <w:iCs/>
                <w:color w:val="000000" w:themeColor="text1"/>
                <w:kern w:val="24"/>
                <w:sz w:val="28"/>
                <w:szCs w:val="28"/>
              </w:rPr>
              <w:t xml:space="preserve">uthority to </w:t>
            </w:r>
            <w:r>
              <w:rPr>
                <w:rFonts w:ascii="Arial" w:eastAsia="+mn-ea" w:hAnsi="Arial" w:cs="Arial"/>
                <w:bCs/>
                <w:iCs/>
                <w:color w:val="000000" w:themeColor="text1"/>
                <w:kern w:val="24"/>
                <w:sz w:val="28"/>
                <w:szCs w:val="28"/>
              </w:rPr>
              <w:t>a</w:t>
            </w:r>
            <w:r w:rsidRPr="00D959EA">
              <w:rPr>
                <w:rFonts w:ascii="Arial" w:eastAsia="+mn-ea" w:hAnsi="Arial" w:cs="Arial"/>
                <w:bCs/>
                <w:iCs/>
                <w:color w:val="000000" w:themeColor="text1"/>
                <w:kern w:val="24"/>
                <w:sz w:val="28"/>
                <w:szCs w:val="28"/>
              </w:rPr>
              <w:t xml:space="preserve">dopt or </w:t>
            </w:r>
            <w:r>
              <w:rPr>
                <w:rFonts w:ascii="Arial" w:eastAsia="+mn-ea" w:hAnsi="Arial" w:cs="Arial"/>
                <w:bCs/>
                <w:iCs/>
                <w:color w:val="000000" w:themeColor="text1"/>
                <w:kern w:val="24"/>
                <w:sz w:val="28"/>
                <w:szCs w:val="28"/>
              </w:rPr>
              <w:t>a</w:t>
            </w:r>
            <w:r w:rsidRPr="00D959EA">
              <w:rPr>
                <w:rFonts w:ascii="Arial" w:eastAsia="+mn-ea" w:hAnsi="Arial" w:cs="Arial"/>
                <w:bCs/>
                <w:iCs/>
                <w:color w:val="000000" w:themeColor="text1"/>
                <w:kern w:val="24"/>
                <w:sz w:val="28"/>
                <w:szCs w:val="28"/>
              </w:rPr>
              <w:t>lterna</w:t>
            </w:r>
            <w:r>
              <w:rPr>
                <w:rFonts w:ascii="Arial" w:eastAsia="+mn-ea" w:hAnsi="Arial" w:cs="Arial"/>
                <w:bCs/>
                <w:iCs/>
                <w:color w:val="000000" w:themeColor="text1"/>
                <w:kern w:val="24"/>
                <w:sz w:val="28"/>
                <w:szCs w:val="28"/>
              </w:rPr>
              <w:t>te</w:t>
            </w:r>
            <w:r w:rsidRPr="00D959EA">
              <w:rPr>
                <w:rFonts w:ascii="Arial" w:eastAsia="+mn-ea" w:hAnsi="Arial" w:cs="Arial"/>
                <w:bCs/>
                <w:iCs/>
                <w:color w:val="000000" w:themeColor="text1"/>
                <w:kern w:val="24"/>
                <w:sz w:val="28"/>
                <w:szCs w:val="28"/>
              </w:rPr>
              <w:t xml:space="preserve"> </w:t>
            </w:r>
            <w:r>
              <w:rPr>
                <w:rFonts w:ascii="Arial" w:eastAsia="+mn-ea" w:hAnsi="Arial" w:cs="Arial"/>
                <w:bCs/>
                <w:iCs/>
                <w:color w:val="000000" w:themeColor="text1"/>
                <w:kern w:val="24"/>
                <w:sz w:val="28"/>
                <w:szCs w:val="28"/>
              </w:rPr>
              <w:t>a hearing officer’s decision</w:t>
            </w:r>
            <w:r w:rsidRPr="00D959EA">
              <w:rPr>
                <w:rFonts w:ascii="Arial" w:eastAsia="+mn-ea" w:hAnsi="Arial" w:cs="Arial"/>
                <w:bCs/>
                <w:iCs/>
                <w:color w:val="000000" w:themeColor="text1"/>
                <w:kern w:val="24"/>
                <w:sz w:val="28"/>
                <w:szCs w:val="28"/>
              </w:rPr>
              <w:t xml:space="preserve"> </w:t>
            </w:r>
          </w:p>
          <w:p w14:paraId="5B5BE827" w14:textId="77777777" w:rsidR="004417E3" w:rsidRDefault="004417E3" w:rsidP="00B947DB">
            <w:pPr>
              <w:pStyle w:val="ListParagraph"/>
              <w:numPr>
                <w:ilvl w:val="0"/>
                <w:numId w:val="10"/>
              </w:numPr>
              <w:spacing w:before="120" w:after="120"/>
              <w:contextualSpacing w:val="0"/>
              <w:rPr>
                <w:rFonts w:ascii="Arial" w:eastAsia="+mn-ea" w:hAnsi="Arial" w:cs="Arial"/>
                <w:bCs/>
                <w:iCs/>
                <w:color w:val="000000" w:themeColor="text1"/>
                <w:kern w:val="24"/>
                <w:sz w:val="28"/>
                <w:szCs w:val="28"/>
              </w:rPr>
            </w:pPr>
            <w:r>
              <w:rPr>
                <w:rFonts w:ascii="Arial" w:eastAsia="+mn-ea" w:hAnsi="Arial" w:cs="Arial"/>
                <w:bCs/>
                <w:iCs/>
                <w:color w:val="000000" w:themeColor="text1"/>
                <w:kern w:val="24"/>
                <w:sz w:val="28"/>
                <w:szCs w:val="28"/>
              </w:rPr>
              <w:t>Either party can request reconsideration within 15 days of receiving the final hearing decision</w:t>
            </w:r>
            <w:r w:rsidR="00FA48AB">
              <w:rPr>
                <w:rFonts w:ascii="Arial" w:eastAsia="+mn-ea" w:hAnsi="Arial" w:cs="Arial"/>
                <w:bCs/>
                <w:iCs/>
                <w:color w:val="000000" w:themeColor="text1"/>
                <w:kern w:val="24"/>
                <w:sz w:val="28"/>
                <w:szCs w:val="28"/>
              </w:rPr>
              <w:t xml:space="preserve"> based on a mistake of fact or law</w:t>
            </w:r>
            <w:r>
              <w:rPr>
                <w:rFonts w:ascii="Arial" w:eastAsia="+mn-ea" w:hAnsi="Arial" w:cs="Arial"/>
                <w:bCs/>
                <w:iCs/>
                <w:color w:val="000000" w:themeColor="text1"/>
                <w:kern w:val="24"/>
                <w:sz w:val="28"/>
                <w:szCs w:val="28"/>
              </w:rPr>
              <w:t xml:space="preserve">. </w:t>
            </w:r>
            <w:r w:rsidR="006D37AF">
              <w:rPr>
                <w:rFonts w:ascii="Arial" w:eastAsia="+mn-ea" w:hAnsi="Arial" w:cs="Arial"/>
                <w:bCs/>
                <w:iCs/>
                <w:color w:val="000000" w:themeColor="text1"/>
                <w:kern w:val="24"/>
                <w:sz w:val="28"/>
                <w:szCs w:val="28"/>
              </w:rPr>
              <w:t>A different hearing officer will</w:t>
            </w:r>
            <w:r w:rsidR="00FA48AB">
              <w:rPr>
                <w:rFonts w:ascii="Arial" w:eastAsia="+mn-ea" w:hAnsi="Arial" w:cs="Arial"/>
                <w:bCs/>
                <w:iCs/>
                <w:color w:val="000000" w:themeColor="text1"/>
                <w:kern w:val="24"/>
                <w:sz w:val="28"/>
                <w:szCs w:val="28"/>
              </w:rPr>
              <w:t xml:space="preserve"> review the matter </w:t>
            </w:r>
            <w:proofErr w:type="gramStart"/>
            <w:r w:rsidR="00FA48AB">
              <w:rPr>
                <w:rFonts w:ascii="Arial" w:eastAsia="+mn-ea" w:hAnsi="Arial" w:cs="Arial"/>
                <w:bCs/>
                <w:iCs/>
                <w:color w:val="000000" w:themeColor="text1"/>
                <w:kern w:val="24"/>
                <w:sz w:val="28"/>
                <w:szCs w:val="28"/>
              </w:rPr>
              <w:t>on</w:t>
            </w:r>
            <w:proofErr w:type="gramEnd"/>
            <w:r w:rsidR="00FA48AB">
              <w:rPr>
                <w:rFonts w:ascii="Arial" w:eastAsia="+mn-ea" w:hAnsi="Arial" w:cs="Arial"/>
                <w:bCs/>
                <w:iCs/>
                <w:color w:val="000000" w:themeColor="text1"/>
                <w:kern w:val="24"/>
                <w:sz w:val="28"/>
                <w:szCs w:val="28"/>
              </w:rPr>
              <w:t xml:space="preserve"> reconsideration.</w:t>
            </w:r>
            <w:r w:rsidR="006D37AF">
              <w:rPr>
                <w:rFonts w:ascii="Arial" w:eastAsia="+mn-ea" w:hAnsi="Arial" w:cs="Arial"/>
                <w:bCs/>
                <w:iCs/>
                <w:color w:val="000000" w:themeColor="text1"/>
                <w:kern w:val="24"/>
                <w:sz w:val="28"/>
                <w:szCs w:val="28"/>
              </w:rPr>
              <w:t xml:space="preserve"> </w:t>
            </w:r>
          </w:p>
          <w:p w14:paraId="46F16A14" w14:textId="51C6088F" w:rsidR="007104F1" w:rsidRPr="007104F1" w:rsidRDefault="007104F1" w:rsidP="007104F1">
            <w:pPr>
              <w:spacing w:before="120" w:after="120"/>
              <w:rPr>
                <w:rFonts w:ascii="Arial" w:eastAsia="+mn-ea" w:hAnsi="Arial" w:cs="Arial"/>
                <w:bCs/>
                <w:iCs/>
                <w:color w:val="000000" w:themeColor="text1"/>
                <w:kern w:val="24"/>
                <w:sz w:val="28"/>
                <w:szCs w:val="28"/>
              </w:rPr>
            </w:pPr>
            <w:r w:rsidRPr="007104F1">
              <w:rPr>
                <w:rFonts w:ascii="Arial" w:hAnsi="Arial" w:cs="Arial"/>
                <w:bCs/>
                <w:i/>
                <w:iCs/>
                <w:color w:val="000000"/>
                <w:sz w:val="28"/>
                <w:szCs w:val="28"/>
              </w:rPr>
              <w:t xml:space="preserve">SB 188, SEC. </w:t>
            </w:r>
            <w:r w:rsidR="00593121">
              <w:rPr>
                <w:rFonts w:ascii="Arial" w:hAnsi="Arial" w:cs="Arial"/>
                <w:bCs/>
                <w:i/>
                <w:iCs/>
                <w:color w:val="000000"/>
                <w:sz w:val="28"/>
                <w:szCs w:val="28"/>
              </w:rPr>
              <w:t>61, 64</w:t>
            </w:r>
          </w:p>
        </w:tc>
        <w:tc>
          <w:tcPr>
            <w:tcW w:w="2459" w:type="dxa"/>
          </w:tcPr>
          <w:p w14:paraId="367F62F9" w14:textId="122C3C97" w:rsidR="004417E3" w:rsidRPr="00957F7F" w:rsidRDefault="004417E3" w:rsidP="00B947DB">
            <w:pPr>
              <w:tabs>
                <w:tab w:val="left" w:pos="982"/>
              </w:tabs>
              <w:spacing w:before="120" w:after="120"/>
              <w:rPr>
                <w:rFonts w:ascii="Arial" w:hAnsi="Arial" w:cs="Arial"/>
                <w:sz w:val="28"/>
                <w:szCs w:val="28"/>
              </w:rPr>
            </w:pPr>
            <w:r>
              <w:rPr>
                <w:rFonts w:ascii="Arial" w:hAnsi="Arial" w:cs="Arial"/>
                <w:sz w:val="28"/>
                <w:szCs w:val="28"/>
              </w:rPr>
              <w:t>March 1, 2023</w:t>
            </w:r>
          </w:p>
        </w:tc>
      </w:tr>
      <w:tr w:rsidR="004417E3" w:rsidRPr="008A457F" w14:paraId="1768CE80" w14:textId="77777777" w:rsidTr="000744E8">
        <w:trPr>
          <w:trHeight w:val="350"/>
          <w:jc w:val="center"/>
        </w:trPr>
        <w:tc>
          <w:tcPr>
            <w:tcW w:w="5845" w:type="dxa"/>
          </w:tcPr>
          <w:p w14:paraId="76F64C3D" w14:textId="09BEC40D" w:rsidR="004417E3" w:rsidRPr="00957F7F" w:rsidRDefault="004417E3" w:rsidP="00B947DB">
            <w:pPr>
              <w:spacing w:before="120" w:after="120"/>
              <w:rPr>
                <w:rFonts w:ascii="Arial" w:eastAsia="+mn-ea" w:hAnsi="Arial" w:cs="Arial"/>
                <w:b/>
                <w:iCs/>
                <w:color w:val="000000" w:themeColor="text1"/>
                <w:kern w:val="24"/>
                <w:sz w:val="28"/>
                <w:szCs w:val="28"/>
              </w:rPr>
            </w:pPr>
            <w:r w:rsidRPr="00957F7F">
              <w:rPr>
                <w:rFonts w:ascii="Arial" w:eastAsia="+mn-ea" w:hAnsi="Arial" w:cs="Arial"/>
                <w:b/>
                <w:iCs/>
                <w:color w:val="000000" w:themeColor="text1"/>
                <w:kern w:val="24"/>
                <w:sz w:val="28"/>
                <w:szCs w:val="28"/>
              </w:rPr>
              <w:t>90 Days</w:t>
            </w:r>
            <w:r w:rsidR="00FA48AB">
              <w:rPr>
                <w:rFonts w:ascii="Arial" w:eastAsia="+mn-ea" w:hAnsi="Arial" w:cs="Arial"/>
                <w:b/>
                <w:iCs/>
                <w:color w:val="000000" w:themeColor="text1"/>
                <w:kern w:val="24"/>
                <w:sz w:val="28"/>
                <w:szCs w:val="28"/>
              </w:rPr>
              <w:t xml:space="preserve"> to Appeal Hearing Decision</w:t>
            </w:r>
          </w:p>
          <w:p w14:paraId="2CF0020D" w14:textId="70BE4E58" w:rsidR="004417E3" w:rsidRPr="00E8636C" w:rsidRDefault="004417E3" w:rsidP="00B947DB">
            <w:pPr>
              <w:spacing w:before="120" w:after="120"/>
              <w:rPr>
                <w:rFonts w:ascii="Arial" w:hAnsi="Arial" w:cs="Arial"/>
                <w:i/>
                <w:sz w:val="28"/>
                <w:szCs w:val="28"/>
              </w:rPr>
            </w:pPr>
            <w:r w:rsidRPr="00957F7F">
              <w:rPr>
                <w:rFonts w:ascii="Arial" w:eastAsia="+mn-ea" w:hAnsi="Arial" w:cs="Arial"/>
                <w:i/>
                <w:iCs/>
                <w:color w:val="000000" w:themeColor="text1"/>
                <w:kern w:val="24"/>
                <w:sz w:val="28"/>
                <w:szCs w:val="28"/>
              </w:rPr>
              <w:t xml:space="preserve">Welfare &amp; Institutions Code Section </w:t>
            </w:r>
            <w:r w:rsidRPr="00957F7F">
              <w:rPr>
                <w:rFonts w:ascii="Arial" w:hAnsi="Arial" w:cs="Arial"/>
                <w:i/>
                <w:sz w:val="28"/>
                <w:szCs w:val="28"/>
              </w:rPr>
              <w:t>4712.5(a)</w:t>
            </w:r>
          </w:p>
        </w:tc>
        <w:tc>
          <w:tcPr>
            <w:tcW w:w="6120" w:type="dxa"/>
          </w:tcPr>
          <w:p w14:paraId="57493B76" w14:textId="28346D29" w:rsidR="004417E3" w:rsidRPr="00957F7F" w:rsidRDefault="004417E3" w:rsidP="00B947DB">
            <w:pPr>
              <w:spacing w:before="120" w:after="120"/>
              <w:rPr>
                <w:rFonts w:ascii="Arial" w:eastAsia="+mn-ea" w:hAnsi="Arial" w:cs="Arial"/>
                <w:bCs/>
                <w:iCs/>
                <w:color w:val="000000" w:themeColor="text1"/>
                <w:kern w:val="24"/>
                <w:sz w:val="28"/>
                <w:szCs w:val="28"/>
              </w:rPr>
            </w:pPr>
            <w:r w:rsidRPr="00957F7F">
              <w:rPr>
                <w:rFonts w:ascii="Arial" w:eastAsia="+mn-ea" w:hAnsi="Arial" w:cs="Arial"/>
                <w:bCs/>
                <w:iCs/>
                <w:color w:val="000000" w:themeColor="text1"/>
                <w:kern w:val="24"/>
                <w:sz w:val="28"/>
                <w:szCs w:val="28"/>
              </w:rPr>
              <w:t>Appeal Hearing Decision Within 180 Days</w:t>
            </w:r>
          </w:p>
          <w:p w14:paraId="6D25F5EF" w14:textId="1B4F5224" w:rsidR="004417E3" w:rsidRPr="00957F7F" w:rsidRDefault="000744E8" w:rsidP="00B947DB">
            <w:pPr>
              <w:tabs>
                <w:tab w:val="left" w:pos="982"/>
              </w:tabs>
              <w:spacing w:before="120" w:after="120"/>
              <w:rPr>
                <w:rFonts w:ascii="Arial" w:hAnsi="Arial" w:cs="Arial"/>
                <w:sz w:val="28"/>
                <w:szCs w:val="28"/>
              </w:rPr>
            </w:pPr>
            <w:r w:rsidRPr="007104F1">
              <w:rPr>
                <w:rFonts w:ascii="Arial" w:hAnsi="Arial" w:cs="Arial"/>
                <w:bCs/>
                <w:i/>
                <w:iCs/>
                <w:color w:val="000000"/>
                <w:sz w:val="28"/>
                <w:szCs w:val="28"/>
              </w:rPr>
              <w:t xml:space="preserve">SB 188, SEC. </w:t>
            </w:r>
            <w:r>
              <w:rPr>
                <w:rFonts w:ascii="Arial" w:hAnsi="Arial" w:cs="Arial"/>
                <w:bCs/>
                <w:i/>
                <w:iCs/>
                <w:color w:val="000000"/>
                <w:sz w:val="28"/>
                <w:szCs w:val="28"/>
              </w:rPr>
              <w:t>61</w:t>
            </w:r>
          </w:p>
        </w:tc>
        <w:tc>
          <w:tcPr>
            <w:tcW w:w="2459" w:type="dxa"/>
          </w:tcPr>
          <w:p w14:paraId="0E8B7734" w14:textId="6A0B339B" w:rsidR="004417E3" w:rsidRPr="00957F7F" w:rsidRDefault="004417E3" w:rsidP="00B947DB">
            <w:pPr>
              <w:tabs>
                <w:tab w:val="left" w:pos="982"/>
              </w:tabs>
              <w:spacing w:before="120" w:after="120"/>
              <w:rPr>
                <w:rFonts w:ascii="Arial" w:hAnsi="Arial" w:cs="Arial"/>
                <w:sz w:val="28"/>
                <w:szCs w:val="28"/>
              </w:rPr>
            </w:pPr>
            <w:r w:rsidRPr="00957F7F">
              <w:rPr>
                <w:rFonts w:ascii="Arial" w:hAnsi="Arial" w:cs="Arial"/>
                <w:sz w:val="28"/>
                <w:szCs w:val="28"/>
              </w:rPr>
              <w:t>March 1, 2023</w:t>
            </w:r>
          </w:p>
        </w:tc>
      </w:tr>
      <w:tr w:rsidR="004417E3" w:rsidRPr="008A457F" w14:paraId="1EA51BFE" w14:textId="77777777" w:rsidTr="000744E8">
        <w:trPr>
          <w:trHeight w:val="350"/>
          <w:jc w:val="center"/>
        </w:trPr>
        <w:tc>
          <w:tcPr>
            <w:tcW w:w="5845" w:type="dxa"/>
          </w:tcPr>
          <w:p w14:paraId="48FC7E90" w14:textId="5B9069E8" w:rsidR="004417E3" w:rsidRPr="00957F7F" w:rsidRDefault="004417E3" w:rsidP="00B947DB">
            <w:pPr>
              <w:spacing w:before="120" w:after="120"/>
              <w:rPr>
                <w:rFonts w:ascii="Arial" w:eastAsia="+mn-ea" w:hAnsi="Arial" w:cs="Arial"/>
                <w:b/>
                <w:iCs/>
                <w:color w:val="000000" w:themeColor="text1"/>
                <w:kern w:val="24"/>
                <w:sz w:val="28"/>
                <w:szCs w:val="28"/>
              </w:rPr>
            </w:pPr>
            <w:r>
              <w:rPr>
                <w:rFonts w:ascii="Arial" w:eastAsia="+mn-ea" w:hAnsi="Arial" w:cs="Arial"/>
                <w:b/>
                <w:iCs/>
                <w:color w:val="000000" w:themeColor="text1"/>
                <w:kern w:val="24"/>
                <w:sz w:val="28"/>
                <w:szCs w:val="28"/>
              </w:rPr>
              <w:t>No Clear Authority for Ensuring the Service Agency Complies with Hearing Decision</w:t>
            </w:r>
          </w:p>
        </w:tc>
        <w:tc>
          <w:tcPr>
            <w:tcW w:w="6120" w:type="dxa"/>
          </w:tcPr>
          <w:p w14:paraId="3B6DDB58" w14:textId="2A20933C" w:rsidR="004417E3" w:rsidRDefault="004417E3" w:rsidP="00B947DB">
            <w:pPr>
              <w:spacing w:before="120" w:after="120"/>
              <w:rPr>
                <w:rFonts w:ascii="Arial" w:eastAsia="+mn-ea" w:hAnsi="Arial" w:cs="Arial"/>
                <w:bCs/>
                <w:iCs/>
                <w:color w:val="000000" w:themeColor="text1"/>
                <w:kern w:val="24"/>
                <w:sz w:val="28"/>
                <w:szCs w:val="28"/>
              </w:rPr>
            </w:pPr>
            <w:proofErr w:type="gramStart"/>
            <w:r>
              <w:rPr>
                <w:rFonts w:ascii="Arial" w:eastAsia="+mn-ea" w:hAnsi="Arial" w:cs="Arial"/>
                <w:bCs/>
                <w:iCs/>
                <w:color w:val="000000" w:themeColor="text1"/>
                <w:kern w:val="24"/>
                <w:sz w:val="28"/>
                <w:szCs w:val="28"/>
              </w:rPr>
              <w:t>Service</w:t>
            </w:r>
            <w:proofErr w:type="gramEnd"/>
            <w:r>
              <w:rPr>
                <w:rFonts w:ascii="Arial" w:eastAsia="+mn-ea" w:hAnsi="Arial" w:cs="Arial"/>
                <w:bCs/>
                <w:iCs/>
                <w:color w:val="000000" w:themeColor="text1"/>
                <w:kern w:val="24"/>
                <w:sz w:val="28"/>
                <w:szCs w:val="28"/>
              </w:rPr>
              <w:t xml:space="preserve"> agency must implement the hearing decision as soon as practical but no later than 30 days after the date of the final decision. </w:t>
            </w:r>
            <w:proofErr w:type="gramStart"/>
            <w:r>
              <w:rPr>
                <w:rFonts w:ascii="Arial" w:eastAsia="+mn-ea" w:hAnsi="Arial" w:cs="Arial"/>
                <w:bCs/>
                <w:iCs/>
                <w:color w:val="000000" w:themeColor="text1"/>
                <w:kern w:val="24"/>
                <w:sz w:val="28"/>
                <w:szCs w:val="28"/>
              </w:rPr>
              <w:t>Service</w:t>
            </w:r>
            <w:proofErr w:type="gramEnd"/>
            <w:r>
              <w:rPr>
                <w:rFonts w:ascii="Arial" w:eastAsia="+mn-ea" w:hAnsi="Arial" w:cs="Arial"/>
                <w:bCs/>
                <w:iCs/>
                <w:color w:val="000000" w:themeColor="text1"/>
                <w:kern w:val="24"/>
                <w:sz w:val="28"/>
                <w:szCs w:val="28"/>
              </w:rPr>
              <w:t xml:space="preserve"> agency must notify DDS and claimant if it cannot meet this timeline. </w:t>
            </w:r>
          </w:p>
          <w:p w14:paraId="4EC5B6E1" w14:textId="77777777" w:rsidR="004417E3" w:rsidRDefault="004417E3" w:rsidP="00B947DB">
            <w:pPr>
              <w:spacing w:before="120" w:after="120"/>
              <w:rPr>
                <w:rFonts w:ascii="Arial" w:eastAsia="+mn-ea" w:hAnsi="Arial" w:cs="Arial"/>
                <w:bCs/>
                <w:iCs/>
                <w:color w:val="000000" w:themeColor="text1"/>
                <w:kern w:val="24"/>
                <w:sz w:val="28"/>
                <w:szCs w:val="28"/>
              </w:rPr>
            </w:pPr>
            <w:r>
              <w:rPr>
                <w:rFonts w:ascii="Arial" w:eastAsia="+mn-ea" w:hAnsi="Arial" w:cs="Arial"/>
                <w:bCs/>
                <w:iCs/>
                <w:color w:val="000000" w:themeColor="text1"/>
                <w:kern w:val="24"/>
                <w:sz w:val="28"/>
                <w:szCs w:val="28"/>
              </w:rPr>
              <w:t>The claimant can contact DDS if they are not satisfied with the service agency’s compliance and DDS is authorized to take appropriate actions to obtain compliance.</w:t>
            </w:r>
          </w:p>
          <w:p w14:paraId="1990282A" w14:textId="42103D98" w:rsidR="000744E8" w:rsidRPr="00957F7F" w:rsidRDefault="000744E8" w:rsidP="00B947DB">
            <w:pPr>
              <w:spacing w:before="120" w:after="120"/>
              <w:rPr>
                <w:rFonts w:ascii="Arial" w:eastAsia="+mn-ea" w:hAnsi="Arial" w:cs="Arial"/>
                <w:bCs/>
                <w:iCs/>
                <w:color w:val="000000" w:themeColor="text1"/>
                <w:kern w:val="24"/>
                <w:sz w:val="28"/>
                <w:szCs w:val="28"/>
              </w:rPr>
            </w:pPr>
            <w:r w:rsidRPr="007104F1">
              <w:rPr>
                <w:rFonts w:ascii="Arial" w:hAnsi="Arial" w:cs="Arial"/>
                <w:bCs/>
                <w:i/>
                <w:iCs/>
                <w:color w:val="000000"/>
                <w:sz w:val="28"/>
                <w:szCs w:val="28"/>
              </w:rPr>
              <w:t xml:space="preserve">SB 188, SEC. </w:t>
            </w:r>
            <w:r>
              <w:rPr>
                <w:rFonts w:ascii="Arial" w:hAnsi="Arial" w:cs="Arial"/>
                <w:bCs/>
                <w:i/>
                <w:iCs/>
                <w:color w:val="000000"/>
                <w:sz w:val="28"/>
                <w:szCs w:val="28"/>
              </w:rPr>
              <w:t>65</w:t>
            </w:r>
          </w:p>
        </w:tc>
        <w:tc>
          <w:tcPr>
            <w:tcW w:w="2459" w:type="dxa"/>
          </w:tcPr>
          <w:p w14:paraId="4A61A288" w14:textId="4C534DE2" w:rsidR="004417E3" w:rsidRPr="00957F7F" w:rsidRDefault="004417E3" w:rsidP="00B947DB">
            <w:pPr>
              <w:tabs>
                <w:tab w:val="left" w:pos="982"/>
              </w:tabs>
              <w:spacing w:before="120" w:after="120"/>
              <w:rPr>
                <w:rFonts w:ascii="Arial" w:hAnsi="Arial" w:cs="Arial"/>
                <w:sz w:val="28"/>
                <w:szCs w:val="28"/>
              </w:rPr>
            </w:pPr>
            <w:r>
              <w:rPr>
                <w:rFonts w:ascii="Arial" w:hAnsi="Arial" w:cs="Arial"/>
                <w:sz w:val="28"/>
                <w:szCs w:val="28"/>
              </w:rPr>
              <w:t>July 1, 2022</w:t>
            </w:r>
          </w:p>
        </w:tc>
      </w:tr>
    </w:tbl>
    <w:p w14:paraId="4E48A815" w14:textId="77777777" w:rsidR="007B515A" w:rsidRPr="00AC4F4F" w:rsidRDefault="007B515A" w:rsidP="00AC4F4F">
      <w:pPr>
        <w:spacing w:after="0" w:line="240" w:lineRule="auto"/>
        <w:rPr>
          <w:rFonts w:ascii="Arial" w:hAnsi="Arial" w:cs="Arial"/>
          <w:i/>
          <w:sz w:val="2"/>
          <w:szCs w:val="2"/>
        </w:rPr>
      </w:pPr>
    </w:p>
    <w:sectPr w:rsidR="007B515A" w:rsidRPr="00AC4F4F" w:rsidSect="005E5845">
      <w:footerReference w:type="default" r:id="rId8"/>
      <w:pgSz w:w="15840" w:h="12240" w:orient="landscape"/>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7112" w14:textId="77777777" w:rsidR="00621AC4" w:rsidRDefault="00621AC4" w:rsidP="00352DB9">
      <w:pPr>
        <w:spacing w:after="0" w:line="240" w:lineRule="auto"/>
      </w:pPr>
      <w:r>
        <w:separator/>
      </w:r>
    </w:p>
  </w:endnote>
  <w:endnote w:type="continuationSeparator" w:id="0">
    <w:p w14:paraId="77AA79AE" w14:textId="77777777" w:rsidR="00621AC4" w:rsidRDefault="00621AC4" w:rsidP="0035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1770"/>
      <w:docPartObj>
        <w:docPartGallery w:val="Page Numbers (Bottom of Page)"/>
        <w:docPartUnique/>
      </w:docPartObj>
    </w:sdtPr>
    <w:sdtEndPr/>
    <w:sdtContent>
      <w:sdt>
        <w:sdtPr>
          <w:id w:val="-1705238520"/>
          <w:docPartObj>
            <w:docPartGallery w:val="Page Numbers (Top of Page)"/>
            <w:docPartUnique/>
          </w:docPartObj>
        </w:sdtPr>
        <w:sdtEndPr/>
        <w:sdtContent>
          <w:p w14:paraId="01075276" w14:textId="77777777" w:rsidR="00D225C7" w:rsidRDefault="00D225C7" w:rsidP="00232255">
            <w:pPr>
              <w:pStyle w:val="Footer"/>
              <w:jc w:val="center"/>
            </w:pPr>
          </w:p>
          <w:p w14:paraId="7ADC5BEB" w14:textId="2083F2D3" w:rsidR="0055627F" w:rsidRDefault="0055627F" w:rsidP="00232255">
            <w:pPr>
              <w:pStyle w:val="Footer"/>
              <w:jc w:val="center"/>
            </w:pPr>
            <w:r w:rsidRPr="00232255">
              <w:rPr>
                <w:rFonts w:ascii="Arial" w:hAnsi="Arial" w:cs="Arial"/>
                <w:sz w:val="28"/>
                <w:szCs w:val="28"/>
              </w:rPr>
              <w:t xml:space="preserve">Page </w:t>
            </w:r>
            <w:r w:rsidRPr="00232255">
              <w:rPr>
                <w:rFonts w:ascii="Arial" w:hAnsi="Arial" w:cs="Arial"/>
                <w:b/>
                <w:bCs/>
                <w:sz w:val="28"/>
                <w:szCs w:val="28"/>
              </w:rPr>
              <w:fldChar w:fldCharType="begin"/>
            </w:r>
            <w:r w:rsidRPr="00232255">
              <w:rPr>
                <w:rFonts w:ascii="Arial" w:hAnsi="Arial" w:cs="Arial"/>
                <w:b/>
                <w:bCs/>
                <w:sz w:val="28"/>
                <w:szCs w:val="28"/>
              </w:rPr>
              <w:instrText xml:space="preserve"> PAGE </w:instrText>
            </w:r>
            <w:r w:rsidRPr="00232255">
              <w:rPr>
                <w:rFonts w:ascii="Arial" w:hAnsi="Arial" w:cs="Arial"/>
                <w:b/>
                <w:bCs/>
                <w:sz w:val="28"/>
                <w:szCs w:val="28"/>
              </w:rPr>
              <w:fldChar w:fldCharType="separate"/>
            </w:r>
            <w:r w:rsidR="00F42919">
              <w:rPr>
                <w:rFonts w:ascii="Arial" w:hAnsi="Arial" w:cs="Arial"/>
                <w:b/>
                <w:bCs/>
                <w:noProof/>
                <w:sz w:val="28"/>
                <w:szCs w:val="28"/>
              </w:rPr>
              <w:t>1</w:t>
            </w:r>
            <w:r w:rsidRPr="00232255">
              <w:rPr>
                <w:rFonts w:ascii="Arial" w:hAnsi="Arial" w:cs="Arial"/>
                <w:b/>
                <w:bCs/>
                <w:sz w:val="28"/>
                <w:szCs w:val="28"/>
              </w:rPr>
              <w:fldChar w:fldCharType="end"/>
            </w:r>
            <w:r w:rsidRPr="00232255">
              <w:rPr>
                <w:rFonts w:ascii="Arial" w:hAnsi="Arial" w:cs="Arial"/>
                <w:sz w:val="28"/>
                <w:szCs w:val="28"/>
              </w:rPr>
              <w:t xml:space="preserve"> of </w:t>
            </w:r>
            <w:r w:rsidRPr="00232255">
              <w:rPr>
                <w:rFonts w:ascii="Arial" w:hAnsi="Arial" w:cs="Arial"/>
                <w:b/>
                <w:bCs/>
                <w:sz w:val="28"/>
                <w:szCs w:val="28"/>
              </w:rPr>
              <w:fldChar w:fldCharType="begin"/>
            </w:r>
            <w:r w:rsidRPr="00232255">
              <w:rPr>
                <w:rFonts w:ascii="Arial" w:hAnsi="Arial" w:cs="Arial"/>
                <w:b/>
                <w:bCs/>
                <w:sz w:val="28"/>
                <w:szCs w:val="28"/>
              </w:rPr>
              <w:instrText xml:space="preserve"> NUMPAGES  </w:instrText>
            </w:r>
            <w:r w:rsidRPr="00232255">
              <w:rPr>
                <w:rFonts w:ascii="Arial" w:hAnsi="Arial" w:cs="Arial"/>
                <w:b/>
                <w:bCs/>
                <w:sz w:val="28"/>
                <w:szCs w:val="28"/>
              </w:rPr>
              <w:fldChar w:fldCharType="separate"/>
            </w:r>
            <w:r w:rsidR="00F42919">
              <w:rPr>
                <w:rFonts w:ascii="Arial" w:hAnsi="Arial" w:cs="Arial"/>
                <w:b/>
                <w:bCs/>
                <w:noProof/>
                <w:sz w:val="28"/>
                <w:szCs w:val="28"/>
              </w:rPr>
              <w:t>4</w:t>
            </w:r>
            <w:r w:rsidRPr="00232255">
              <w:rPr>
                <w:rFonts w:ascii="Arial" w:hAnsi="Arial" w:cs="Arial"/>
                <w:b/>
                <w:bCs/>
                <w:sz w:val="28"/>
                <w:szCs w:val="28"/>
              </w:rPr>
              <w:fldChar w:fldCharType="end"/>
            </w:r>
          </w:p>
        </w:sdtContent>
      </w:sdt>
    </w:sdtContent>
  </w:sdt>
  <w:p w14:paraId="72BF344A" w14:textId="0C39D127" w:rsidR="0055627F" w:rsidRPr="00232255" w:rsidRDefault="00A811F5">
    <w:pPr>
      <w:pStyle w:val="Footer"/>
      <w:rPr>
        <w:rFonts w:ascii="Arial" w:hAnsi="Arial" w:cs="Arial"/>
        <w:sz w:val="28"/>
        <w:szCs w:val="28"/>
      </w:rPr>
    </w:pPr>
    <w:r>
      <w:rPr>
        <w:rFonts w:ascii="Arial" w:hAnsi="Arial" w:cs="Arial"/>
        <w:sz w:val="28"/>
        <w:szCs w:val="28"/>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BE4E" w14:textId="77777777" w:rsidR="00621AC4" w:rsidRDefault="00621AC4" w:rsidP="00352DB9">
      <w:pPr>
        <w:spacing w:after="0" w:line="240" w:lineRule="auto"/>
      </w:pPr>
      <w:r>
        <w:separator/>
      </w:r>
    </w:p>
  </w:footnote>
  <w:footnote w:type="continuationSeparator" w:id="0">
    <w:p w14:paraId="24181E0B" w14:textId="77777777" w:rsidR="00621AC4" w:rsidRDefault="00621AC4" w:rsidP="00352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07E4"/>
    <w:multiLevelType w:val="hybridMultilevel"/>
    <w:tmpl w:val="C9207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373E86"/>
    <w:multiLevelType w:val="hybridMultilevel"/>
    <w:tmpl w:val="4ABEE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490854"/>
    <w:multiLevelType w:val="hybridMultilevel"/>
    <w:tmpl w:val="1E122004"/>
    <w:lvl w:ilvl="0" w:tplc="8710FC46">
      <w:start w:val="1"/>
      <w:numFmt w:val="decimal"/>
      <w:lvlText w:val="(%1)"/>
      <w:lvlJc w:val="left"/>
      <w:pPr>
        <w:ind w:left="855" w:hanging="4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E58BB"/>
    <w:multiLevelType w:val="hybridMultilevel"/>
    <w:tmpl w:val="7FE2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FD66A0"/>
    <w:multiLevelType w:val="hybridMultilevel"/>
    <w:tmpl w:val="98660FDE"/>
    <w:lvl w:ilvl="0" w:tplc="3E0EF5C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C6079"/>
    <w:multiLevelType w:val="hybridMultilevel"/>
    <w:tmpl w:val="75940E56"/>
    <w:lvl w:ilvl="0" w:tplc="8710FC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E3324"/>
    <w:multiLevelType w:val="hybridMultilevel"/>
    <w:tmpl w:val="4380D01E"/>
    <w:lvl w:ilvl="0" w:tplc="3BD25A0E">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035B5"/>
    <w:multiLevelType w:val="hybridMultilevel"/>
    <w:tmpl w:val="EF483E7C"/>
    <w:lvl w:ilvl="0" w:tplc="7E1426D8">
      <w:start w:val="1"/>
      <w:numFmt w:val="upperRoman"/>
      <w:lvlText w:val="%1."/>
      <w:lvlJc w:val="left"/>
      <w:pPr>
        <w:ind w:left="720" w:hanging="720"/>
      </w:pPr>
      <w:rPr>
        <w:rFonts w:hint="default"/>
        <w:b/>
      </w:rPr>
    </w:lvl>
    <w:lvl w:ilvl="1" w:tplc="4472443C">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8192370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567385"/>
    <w:multiLevelType w:val="hybridMultilevel"/>
    <w:tmpl w:val="48C63D94"/>
    <w:lvl w:ilvl="0" w:tplc="0DB4FA2E">
      <w:start w:val="1"/>
      <w:numFmt w:val="decimal"/>
      <w:lvlText w:val="(%1)"/>
      <w:lvlJc w:val="left"/>
      <w:pPr>
        <w:ind w:left="720" w:hanging="360"/>
      </w:pPr>
      <w:rPr>
        <w:rFonts w:ascii="Verdana" w:eastAsiaTheme="minorHAnsi" w:hAnsi="Verdana" w:cstheme="minorBidi" w:hint="default"/>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673E3"/>
    <w:multiLevelType w:val="hybridMultilevel"/>
    <w:tmpl w:val="B3CC0972"/>
    <w:lvl w:ilvl="0" w:tplc="8710FC46">
      <w:start w:val="1"/>
      <w:numFmt w:val="decimal"/>
      <w:lvlText w:val="(%1)"/>
      <w:lvlJc w:val="left"/>
      <w:pPr>
        <w:ind w:left="1664" w:hanging="360"/>
      </w:pPr>
      <w:rPr>
        <w:rFonts w:hint="default"/>
        <w:b/>
        <w:color w:val="000000" w:themeColor="text1"/>
        <w:sz w:val="28"/>
        <w:szCs w:val="28"/>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0" w15:restartNumberingAfterBreak="0">
    <w:nsid w:val="78104A69"/>
    <w:multiLevelType w:val="hybridMultilevel"/>
    <w:tmpl w:val="CD12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A3F28"/>
    <w:multiLevelType w:val="hybridMultilevel"/>
    <w:tmpl w:val="4D5073D8"/>
    <w:lvl w:ilvl="0" w:tplc="8710FC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897918">
    <w:abstractNumId w:val="9"/>
  </w:num>
  <w:num w:numId="2" w16cid:durableId="1046754904">
    <w:abstractNumId w:val="8"/>
  </w:num>
  <w:num w:numId="3" w16cid:durableId="901867362">
    <w:abstractNumId w:val="4"/>
  </w:num>
  <w:num w:numId="4" w16cid:durableId="1878351549">
    <w:abstractNumId w:val="6"/>
  </w:num>
  <w:num w:numId="5" w16cid:durableId="456993679">
    <w:abstractNumId w:val="2"/>
  </w:num>
  <w:num w:numId="6" w16cid:durableId="2135057011">
    <w:abstractNumId w:val="11"/>
  </w:num>
  <w:num w:numId="7" w16cid:durableId="696587613">
    <w:abstractNumId w:val="5"/>
  </w:num>
  <w:num w:numId="8" w16cid:durableId="1535850183">
    <w:abstractNumId w:val="7"/>
  </w:num>
  <w:num w:numId="9" w16cid:durableId="18044913">
    <w:abstractNumId w:val="10"/>
  </w:num>
  <w:num w:numId="10" w16cid:durableId="1633170795">
    <w:abstractNumId w:val="0"/>
  </w:num>
  <w:num w:numId="11" w16cid:durableId="1155295814">
    <w:abstractNumId w:val="3"/>
  </w:num>
  <w:num w:numId="12" w16cid:durableId="115390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44BA192-DDCC-47A5-8DD9-33077A7B9346}"/>
    <w:docVar w:name="dgnword-eventsink" w:val="3114288991360"/>
  </w:docVars>
  <w:rsids>
    <w:rsidRoot w:val="00906E20"/>
    <w:rsid w:val="00007B36"/>
    <w:rsid w:val="000172B4"/>
    <w:rsid w:val="00027EAC"/>
    <w:rsid w:val="000332F9"/>
    <w:rsid w:val="00052B36"/>
    <w:rsid w:val="000744E8"/>
    <w:rsid w:val="00081311"/>
    <w:rsid w:val="000D3900"/>
    <w:rsid w:val="00126792"/>
    <w:rsid w:val="00160B37"/>
    <w:rsid w:val="0017080E"/>
    <w:rsid w:val="00180BBA"/>
    <w:rsid w:val="00196AD7"/>
    <w:rsid w:val="001A4E8F"/>
    <w:rsid w:val="001B0303"/>
    <w:rsid w:val="001D3584"/>
    <w:rsid w:val="001F060A"/>
    <w:rsid w:val="00203DF2"/>
    <w:rsid w:val="00224EA5"/>
    <w:rsid w:val="00232255"/>
    <w:rsid w:val="00271683"/>
    <w:rsid w:val="00287E44"/>
    <w:rsid w:val="002A1D4B"/>
    <w:rsid w:val="002D057F"/>
    <w:rsid w:val="00312781"/>
    <w:rsid w:val="00312B95"/>
    <w:rsid w:val="003175C8"/>
    <w:rsid w:val="00352DB9"/>
    <w:rsid w:val="0035754D"/>
    <w:rsid w:val="00373A82"/>
    <w:rsid w:val="00381517"/>
    <w:rsid w:val="003A24A5"/>
    <w:rsid w:val="003C3EE8"/>
    <w:rsid w:val="003E6847"/>
    <w:rsid w:val="0041284F"/>
    <w:rsid w:val="00412D38"/>
    <w:rsid w:val="004417E3"/>
    <w:rsid w:val="004609AA"/>
    <w:rsid w:val="004644A7"/>
    <w:rsid w:val="00486978"/>
    <w:rsid w:val="00496CD6"/>
    <w:rsid w:val="004C67E8"/>
    <w:rsid w:val="00514F9A"/>
    <w:rsid w:val="0052064C"/>
    <w:rsid w:val="005551BB"/>
    <w:rsid w:val="0055627F"/>
    <w:rsid w:val="00563B02"/>
    <w:rsid w:val="005722A7"/>
    <w:rsid w:val="005737AF"/>
    <w:rsid w:val="00593121"/>
    <w:rsid w:val="005A5300"/>
    <w:rsid w:val="005B4618"/>
    <w:rsid w:val="005B4D84"/>
    <w:rsid w:val="005B6872"/>
    <w:rsid w:val="005D5B07"/>
    <w:rsid w:val="005E4E7E"/>
    <w:rsid w:val="005E5845"/>
    <w:rsid w:val="006079B3"/>
    <w:rsid w:val="00621AC4"/>
    <w:rsid w:val="00621D5D"/>
    <w:rsid w:val="00676ED3"/>
    <w:rsid w:val="006A3626"/>
    <w:rsid w:val="006B6D51"/>
    <w:rsid w:val="006C72EB"/>
    <w:rsid w:val="006D37AF"/>
    <w:rsid w:val="007104F1"/>
    <w:rsid w:val="007323E2"/>
    <w:rsid w:val="00752362"/>
    <w:rsid w:val="0075750F"/>
    <w:rsid w:val="00773E8C"/>
    <w:rsid w:val="007756FD"/>
    <w:rsid w:val="00797405"/>
    <w:rsid w:val="007B515A"/>
    <w:rsid w:val="007E5621"/>
    <w:rsid w:val="007F0DBC"/>
    <w:rsid w:val="008764D4"/>
    <w:rsid w:val="00885AF4"/>
    <w:rsid w:val="008A457F"/>
    <w:rsid w:val="008E072D"/>
    <w:rsid w:val="00901474"/>
    <w:rsid w:val="00906431"/>
    <w:rsid w:val="00906E20"/>
    <w:rsid w:val="0093441A"/>
    <w:rsid w:val="00957F7F"/>
    <w:rsid w:val="009A1131"/>
    <w:rsid w:val="009C67D5"/>
    <w:rsid w:val="00A04279"/>
    <w:rsid w:val="00A0640D"/>
    <w:rsid w:val="00A127D7"/>
    <w:rsid w:val="00A27D89"/>
    <w:rsid w:val="00A52D44"/>
    <w:rsid w:val="00A55E04"/>
    <w:rsid w:val="00A73109"/>
    <w:rsid w:val="00A811F5"/>
    <w:rsid w:val="00A81FDA"/>
    <w:rsid w:val="00A93DE7"/>
    <w:rsid w:val="00AB4A40"/>
    <w:rsid w:val="00AC37E6"/>
    <w:rsid w:val="00AC4F4F"/>
    <w:rsid w:val="00AC6723"/>
    <w:rsid w:val="00B0593E"/>
    <w:rsid w:val="00B1660E"/>
    <w:rsid w:val="00B329B1"/>
    <w:rsid w:val="00B36E53"/>
    <w:rsid w:val="00B44E0F"/>
    <w:rsid w:val="00B57253"/>
    <w:rsid w:val="00B924F8"/>
    <w:rsid w:val="00B947DB"/>
    <w:rsid w:val="00B962E3"/>
    <w:rsid w:val="00BA13DC"/>
    <w:rsid w:val="00BB3F65"/>
    <w:rsid w:val="00BF2245"/>
    <w:rsid w:val="00BF4740"/>
    <w:rsid w:val="00C1166D"/>
    <w:rsid w:val="00C1611F"/>
    <w:rsid w:val="00C52832"/>
    <w:rsid w:val="00C72E6D"/>
    <w:rsid w:val="00C84915"/>
    <w:rsid w:val="00CF43C3"/>
    <w:rsid w:val="00D068FC"/>
    <w:rsid w:val="00D225C7"/>
    <w:rsid w:val="00D45681"/>
    <w:rsid w:val="00D477A4"/>
    <w:rsid w:val="00D60E4C"/>
    <w:rsid w:val="00D63BB0"/>
    <w:rsid w:val="00D82718"/>
    <w:rsid w:val="00D92F9C"/>
    <w:rsid w:val="00D959EA"/>
    <w:rsid w:val="00D96F4B"/>
    <w:rsid w:val="00DB60EE"/>
    <w:rsid w:val="00DD397D"/>
    <w:rsid w:val="00DE2210"/>
    <w:rsid w:val="00DE74A7"/>
    <w:rsid w:val="00E06946"/>
    <w:rsid w:val="00E13E99"/>
    <w:rsid w:val="00E227B3"/>
    <w:rsid w:val="00E44DF8"/>
    <w:rsid w:val="00E8636C"/>
    <w:rsid w:val="00EA0A89"/>
    <w:rsid w:val="00EB6387"/>
    <w:rsid w:val="00EC4C4A"/>
    <w:rsid w:val="00EC5CA7"/>
    <w:rsid w:val="00EC62D4"/>
    <w:rsid w:val="00EE1630"/>
    <w:rsid w:val="00EE309C"/>
    <w:rsid w:val="00EF74BA"/>
    <w:rsid w:val="00F04B41"/>
    <w:rsid w:val="00F34769"/>
    <w:rsid w:val="00F37B59"/>
    <w:rsid w:val="00F42919"/>
    <w:rsid w:val="00F617E1"/>
    <w:rsid w:val="00F779CB"/>
    <w:rsid w:val="00F83842"/>
    <w:rsid w:val="00FA48AB"/>
    <w:rsid w:val="00FB4641"/>
    <w:rsid w:val="00FB7B64"/>
    <w:rsid w:val="00FD416C"/>
    <w:rsid w:val="00FE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75131"/>
  <w15:chartTrackingRefBased/>
  <w15:docId w15:val="{488E67A9-0B42-4FDA-9A36-E6F63E7F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57F"/>
    <w:pPr>
      <w:ind w:left="720"/>
      <w:contextualSpacing/>
    </w:pPr>
  </w:style>
  <w:style w:type="paragraph" w:styleId="NormalWeb">
    <w:name w:val="Normal (Web)"/>
    <w:basedOn w:val="Normal"/>
    <w:uiPriority w:val="99"/>
    <w:unhideWhenUsed/>
    <w:rsid w:val="009A11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DB9"/>
  </w:style>
  <w:style w:type="paragraph" w:styleId="Footer">
    <w:name w:val="footer"/>
    <w:basedOn w:val="Normal"/>
    <w:link w:val="FooterChar"/>
    <w:uiPriority w:val="99"/>
    <w:unhideWhenUsed/>
    <w:rsid w:val="0035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DB9"/>
  </w:style>
  <w:style w:type="paragraph" w:styleId="PlainText">
    <w:name w:val="Plain Text"/>
    <w:basedOn w:val="Normal"/>
    <w:link w:val="PlainTextChar"/>
    <w:uiPriority w:val="99"/>
    <w:unhideWhenUsed/>
    <w:rsid w:val="004644A7"/>
    <w:pPr>
      <w:spacing w:after="0" w:line="240" w:lineRule="auto"/>
    </w:pPr>
    <w:rPr>
      <w:rFonts w:ascii="Arial" w:hAnsi="Arial"/>
      <w:sz w:val="28"/>
      <w:szCs w:val="21"/>
    </w:rPr>
  </w:style>
  <w:style w:type="character" w:customStyle="1" w:styleId="PlainTextChar">
    <w:name w:val="Plain Text Char"/>
    <w:basedOn w:val="DefaultParagraphFont"/>
    <w:link w:val="PlainText"/>
    <w:uiPriority w:val="99"/>
    <w:rsid w:val="004644A7"/>
    <w:rPr>
      <w:rFonts w:ascii="Arial" w:hAnsi="Arial"/>
      <w:sz w:val="28"/>
      <w:szCs w:val="21"/>
    </w:rPr>
  </w:style>
  <w:style w:type="paragraph" w:styleId="FootnoteText">
    <w:name w:val="footnote text"/>
    <w:basedOn w:val="Normal"/>
    <w:link w:val="FootnoteTextChar"/>
    <w:uiPriority w:val="99"/>
    <w:semiHidden/>
    <w:unhideWhenUsed/>
    <w:rsid w:val="004644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4A7"/>
    <w:rPr>
      <w:sz w:val="20"/>
      <w:szCs w:val="20"/>
    </w:rPr>
  </w:style>
  <w:style w:type="character" w:styleId="FootnoteReference">
    <w:name w:val="footnote reference"/>
    <w:basedOn w:val="DefaultParagraphFont"/>
    <w:uiPriority w:val="99"/>
    <w:semiHidden/>
    <w:unhideWhenUsed/>
    <w:rsid w:val="004644A7"/>
    <w:rPr>
      <w:vertAlign w:val="superscript"/>
    </w:rPr>
  </w:style>
  <w:style w:type="paragraph" w:customStyle="1" w:styleId="Default">
    <w:name w:val="Default"/>
    <w:rsid w:val="00496CD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62D4"/>
    <w:rPr>
      <w:color w:val="0563C1" w:themeColor="hyperlink"/>
      <w:u w:val="single"/>
    </w:rPr>
  </w:style>
  <w:style w:type="character" w:styleId="FollowedHyperlink">
    <w:name w:val="FollowedHyperlink"/>
    <w:basedOn w:val="DefaultParagraphFont"/>
    <w:uiPriority w:val="99"/>
    <w:semiHidden/>
    <w:unhideWhenUsed/>
    <w:rsid w:val="0075750F"/>
    <w:rPr>
      <w:color w:val="954F72" w:themeColor="followedHyperlink"/>
      <w:u w:val="single"/>
    </w:rPr>
  </w:style>
  <w:style w:type="character" w:styleId="UnresolvedMention">
    <w:name w:val="Unresolved Mention"/>
    <w:basedOn w:val="DefaultParagraphFont"/>
    <w:uiPriority w:val="99"/>
    <w:semiHidden/>
    <w:unhideWhenUsed/>
    <w:rsid w:val="00EB6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2255">
      <w:bodyDiv w:val="1"/>
      <w:marLeft w:val="0"/>
      <w:marRight w:val="0"/>
      <w:marTop w:val="0"/>
      <w:marBottom w:val="0"/>
      <w:divBdr>
        <w:top w:val="none" w:sz="0" w:space="0" w:color="auto"/>
        <w:left w:val="none" w:sz="0" w:space="0" w:color="auto"/>
        <w:bottom w:val="none" w:sz="0" w:space="0" w:color="auto"/>
        <w:right w:val="none" w:sz="0" w:space="0" w:color="auto"/>
      </w:divBdr>
    </w:div>
    <w:div w:id="321399577">
      <w:bodyDiv w:val="1"/>
      <w:marLeft w:val="0"/>
      <w:marRight w:val="0"/>
      <w:marTop w:val="0"/>
      <w:marBottom w:val="0"/>
      <w:divBdr>
        <w:top w:val="none" w:sz="0" w:space="0" w:color="auto"/>
        <w:left w:val="none" w:sz="0" w:space="0" w:color="auto"/>
        <w:bottom w:val="none" w:sz="0" w:space="0" w:color="auto"/>
        <w:right w:val="none" w:sz="0" w:space="0" w:color="auto"/>
      </w:divBdr>
      <w:divsChild>
        <w:div w:id="184485760">
          <w:marLeft w:val="0"/>
          <w:marRight w:val="0"/>
          <w:marTop w:val="288"/>
          <w:marBottom w:val="288"/>
          <w:divBdr>
            <w:top w:val="none" w:sz="0" w:space="0" w:color="auto"/>
            <w:left w:val="none" w:sz="0" w:space="0" w:color="auto"/>
            <w:bottom w:val="none" w:sz="0" w:space="0" w:color="auto"/>
            <w:right w:val="none" w:sz="0" w:space="0" w:color="auto"/>
          </w:divBdr>
        </w:div>
        <w:div w:id="562911259">
          <w:marLeft w:val="0"/>
          <w:marRight w:val="0"/>
          <w:marTop w:val="240"/>
          <w:marBottom w:val="0"/>
          <w:divBdr>
            <w:top w:val="none" w:sz="0" w:space="0" w:color="auto"/>
            <w:left w:val="none" w:sz="0" w:space="0" w:color="auto"/>
            <w:bottom w:val="none" w:sz="0" w:space="0" w:color="auto"/>
            <w:right w:val="none" w:sz="0" w:space="0" w:color="auto"/>
          </w:divBdr>
          <w:divsChild>
            <w:div w:id="144785707">
              <w:marLeft w:val="0"/>
              <w:marRight w:val="0"/>
              <w:marTop w:val="0"/>
              <w:marBottom w:val="0"/>
              <w:divBdr>
                <w:top w:val="none" w:sz="0" w:space="0" w:color="auto"/>
                <w:left w:val="none" w:sz="0" w:space="0" w:color="auto"/>
                <w:bottom w:val="none" w:sz="0" w:space="0" w:color="auto"/>
                <w:right w:val="none" w:sz="0" w:space="0" w:color="auto"/>
              </w:divBdr>
              <w:divsChild>
                <w:div w:id="1416972061">
                  <w:marLeft w:val="0"/>
                  <w:marRight w:val="0"/>
                  <w:marTop w:val="240"/>
                  <w:marBottom w:val="0"/>
                  <w:divBdr>
                    <w:top w:val="none" w:sz="0" w:space="0" w:color="auto"/>
                    <w:left w:val="none" w:sz="0" w:space="0" w:color="auto"/>
                    <w:bottom w:val="none" w:sz="0" w:space="0" w:color="auto"/>
                    <w:right w:val="none" w:sz="0" w:space="0" w:color="auto"/>
                  </w:divBdr>
                  <w:divsChild>
                    <w:div w:id="577404779">
                      <w:marLeft w:val="0"/>
                      <w:marRight w:val="0"/>
                      <w:marTop w:val="0"/>
                      <w:marBottom w:val="0"/>
                      <w:divBdr>
                        <w:top w:val="none" w:sz="0" w:space="0" w:color="auto"/>
                        <w:left w:val="none" w:sz="0" w:space="0" w:color="auto"/>
                        <w:bottom w:val="none" w:sz="0" w:space="0" w:color="auto"/>
                        <w:right w:val="none" w:sz="0" w:space="0" w:color="auto"/>
                      </w:divBdr>
                      <w:divsChild>
                        <w:div w:id="8417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7019">
                  <w:marLeft w:val="0"/>
                  <w:marRight w:val="0"/>
                  <w:marTop w:val="240"/>
                  <w:marBottom w:val="0"/>
                  <w:divBdr>
                    <w:top w:val="none" w:sz="0" w:space="0" w:color="auto"/>
                    <w:left w:val="none" w:sz="0" w:space="0" w:color="auto"/>
                    <w:bottom w:val="none" w:sz="0" w:space="0" w:color="auto"/>
                    <w:right w:val="none" w:sz="0" w:space="0" w:color="auto"/>
                  </w:divBdr>
                  <w:divsChild>
                    <w:div w:id="514734601">
                      <w:marLeft w:val="0"/>
                      <w:marRight w:val="0"/>
                      <w:marTop w:val="0"/>
                      <w:marBottom w:val="0"/>
                      <w:divBdr>
                        <w:top w:val="none" w:sz="0" w:space="0" w:color="auto"/>
                        <w:left w:val="none" w:sz="0" w:space="0" w:color="auto"/>
                        <w:bottom w:val="none" w:sz="0" w:space="0" w:color="auto"/>
                        <w:right w:val="none" w:sz="0" w:space="0" w:color="auto"/>
                      </w:divBdr>
                      <w:divsChild>
                        <w:div w:id="805195702">
                          <w:marLeft w:val="0"/>
                          <w:marRight w:val="0"/>
                          <w:marTop w:val="0"/>
                          <w:marBottom w:val="0"/>
                          <w:divBdr>
                            <w:top w:val="none" w:sz="0" w:space="0" w:color="auto"/>
                            <w:left w:val="none" w:sz="0" w:space="0" w:color="auto"/>
                            <w:bottom w:val="none" w:sz="0" w:space="0" w:color="auto"/>
                            <w:right w:val="none" w:sz="0" w:space="0" w:color="auto"/>
                          </w:divBdr>
                        </w:div>
                      </w:divsChild>
                    </w:div>
                    <w:div w:id="1861161972">
                      <w:marLeft w:val="0"/>
                      <w:marRight w:val="0"/>
                      <w:marTop w:val="240"/>
                      <w:marBottom w:val="0"/>
                      <w:divBdr>
                        <w:top w:val="none" w:sz="0" w:space="0" w:color="auto"/>
                        <w:left w:val="none" w:sz="0" w:space="0" w:color="auto"/>
                        <w:bottom w:val="none" w:sz="0" w:space="0" w:color="auto"/>
                        <w:right w:val="none" w:sz="0" w:space="0" w:color="auto"/>
                      </w:divBdr>
                      <w:divsChild>
                        <w:div w:id="2011366563">
                          <w:marLeft w:val="0"/>
                          <w:marRight w:val="0"/>
                          <w:marTop w:val="0"/>
                          <w:marBottom w:val="0"/>
                          <w:divBdr>
                            <w:top w:val="none" w:sz="0" w:space="0" w:color="auto"/>
                            <w:left w:val="none" w:sz="0" w:space="0" w:color="auto"/>
                            <w:bottom w:val="none" w:sz="0" w:space="0" w:color="auto"/>
                            <w:right w:val="none" w:sz="0" w:space="0" w:color="auto"/>
                          </w:divBdr>
                          <w:divsChild>
                            <w:div w:id="192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9903">
                      <w:marLeft w:val="0"/>
                      <w:marRight w:val="0"/>
                      <w:marTop w:val="240"/>
                      <w:marBottom w:val="0"/>
                      <w:divBdr>
                        <w:top w:val="none" w:sz="0" w:space="0" w:color="auto"/>
                        <w:left w:val="none" w:sz="0" w:space="0" w:color="auto"/>
                        <w:bottom w:val="none" w:sz="0" w:space="0" w:color="auto"/>
                        <w:right w:val="none" w:sz="0" w:space="0" w:color="auto"/>
                      </w:divBdr>
                      <w:divsChild>
                        <w:div w:id="1222983526">
                          <w:marLeft w:val="0"/>
                          <w:marRight w:val="0"/>
                          <w:marTop w:val="0"/>
                          <w:marBottom w:val="0"/>
                          <w:divBdr>
                            <w:top w:val="none" w:sz="0" w:space="0" w:color="auto"/>
                            <w:left w:val="none" w:sz="0" w:space="0" w:color="auto"/>
                            <w:bottom w:val="none" w:sz="0" w:space="0" w:color="auto"/>
                            <w:right w:val="none" w:sz="0" w:space="0" w:color="auto"/>
                          </w:divBdr>
                          <w:divsChild>
                            <w:div w:id="19345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8347">
                      <w:marLeft w:val="0"/>
                      <w:marRight w:val="0"/>
                      <w:marTop w:val="240"/>
                      <w:marBottom w:val="0"/>
                      <w:divBdr>
                        <w:top w:val="none" w:sz="0" w:space="0" w:color="auto"/>
                        <w:left w:val="none" w:sz="0" w:space="0" w:color="auto"/>
                        <w:bottom w:val="none" w:sz="0" w:space="0" w:color="auto"/>
                        <w:right w:val="none" w:sz="0" w:space="0" w:color="auto"/>
                      </w:divBdr>
                      <w:divsChild>
                        <w:div w:id="1311712575">
                          <w:marLeft w:val="0"/>
                          <w:marRight w:val="0"/>
                          <w:marTop w:val="0"/>
                          <w:marBottom w:val="0"/>
                          <w:divBdr>
                            <w:top w:val="none" w:sz="0" w:space="0" w:color="auto"/>
                            <w:left w:val="none" w:sz="0" w:space="0" w:color="auto"/>
                            <w:bottom w:val="none" w:sz="0" w:space="0" w:color="auto"/>
                            <w:right w:val="none" w:sz="0" w:space="0" w:color="auto"/>
                          </w:divBdr>
                          <w:divsChild>
                            <w:div w:id="13974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4074">
                  <w:marLeft w:val="0"/>
                  <w:marRight w:val="0"/>
                  <w:marTop w:val="240"/>
                  <w:marBottom w:val="0"/>
                  <w:divBdr>
                    <w:top w:val="none" w:sz="0" w:space="0" w:color="auto"/>
                    <w:left w:val="none" w:sz="0" w:space="0" w:color="auto"/>
                    <w:bottom w:val="none" w:sz="0" w:space="0" w:color="auto"/>
                    <w:right w:val="none" w:sz="0" w:space="0" w:color="auto"/>
                  </w:divBdr>
                  <w:divsChild>
                    <w:div w:id="551040885">
                      <w:marLeft w:val="0"/>
                      <w:marRight w:val="0"/>
                      <w:marTop w:val="0"/>
                      <w:marBottom w:val="0"/>
                      <w:divBdr>
                        <w:top w:val="none" w:sz="0" w:space="0" w:color="auto"/>
                        <w:left w:val="none" w:sz="0" w:space="0" w:color="auto"/>
                        <w:bottom w:val="none" w:sz="0" w:space="0" w:color="auto"/>
                        <w:right w:val="none" w:sz="0" w:space="0" w:color="auto"/>
                      </w:divBdr>
                      <w:divsChild>
                        <w:div w:id="1140223745">
                          <w:marLeft w:val="0"/>
                          <w:marRight w:val="0"/>
                          <w:marTop w:val="0"/>
                          <w:marBottom w:val="0"/>
                          <w:divBdr>
                            <w:top w:val="none" w:sz="0" w:space="0" w:color="auto"/>
                            <w:left w:val="none" w:sz="0" w:space="0" w:color="auto"/>
                            <w:bottom w:val="none" w:sz="0" w:space="0" w:color="auto"/>
                            <w:right w:val="none" w:sz="0" w:space="0" w:color="auto"/>
                          </w:divBdr>
                        </w:div>
                      </w:divsChild>
                    </w:div>
                    <w:div w:id="1430004181">
                      <w:marLeft w:val="0"/>
                      <w:marRight w:val="0"/>
                      <w:marTop w:val="240"/>
                      <w:marBottom w:val="0"/>
                      <w:divBdr>
                        <w:top w:val="none" w:sz="0" w:space="0" w:color="auto"/>
                        <w:left w:val="none" w:sz="0" w:space="0" w:color="auto"/>
                        <w:bottom w:val="none" w:sz="0" w:space="0" w:color="auto"/>
                        <w:right w:val="none" w:sz="0" w:space="0" w:color="auto"/>
                      </w:divBdr>
                      <w:divsChild>
                        <w:div w:id="760642207">
                          <w:marLeft w:val="0"/>
                          <w:marRight w:val="0"/>
                          <w:marTop w:val="0"/>
                          <w:marBottom w:val="0"/>
                          <w:divBdr>
                            <w:top w:val="none" w:sz="0" w:space="0" w:color="auto"/>
                            <w:left w:val="none" w:sz="0" w:space="0" w:color="auto"/>
                            <w:bottom w:val="none" w:sz="0" w:space="0" w:color="auto"/>
                            <w:right w:val="none" w:sz="0" w:space="0" w:color="auto"/>
                          </w:divBdr>
                          <w:divsChild>
                            <w:div w:id="7694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5665">
                      <w:marLeft w:val="0"/>
                      <w:marRight w:val="0"/>
                      <w:marTop w:val="240"/>
                      <w:marBottom w:val="0"/>
                      <w:divBdr>
                        <w:top w:val="none" w:sz="0" w:space="0" w:color="auto"/>
                        <w:left w:val="none" w:sz="0" w:space="0" w:color="auto"/>
                        <w:bottom w:val="none" w:sz="0" w:space="0" w:color="auto"/>
                        <w:right w:val="none" w:sz="0" w:space="0" w:color="auto"/>
                      </w:divBdr>
                      <w:divsChild>
                        <w:div w:id="1431968675">
                          <w:marLeft w:val="0"/>
                          <w:marRight w:val="0"/>
                          <w:marTop w:val="0"/>
                          <w:marBottom w:val="0"/>
                          <w:divBdr>
                            <w:top w:val="none" w:sz="0" w:space="0" w:color="auto"/>
                            <w:left w:val="none" w:sz="0" w:space="0" w:color="auto"/>
                            <w:bottom w:val="none" w:sz="0" w:space="0" w:color="auto"/>
                            <w:right w:val="none" w:sz="0" w:space="0" w:color="auto"/>
                          </w:divBdr>
                          <w:divsChild>
                            <w:div w:id="1768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6833">
                      <w:marLeft w:val="0"/>
                      <w:marRight w:val="0"/>
                      <w:marTop w:val="240"/>
                      <w:marBottom w:val="0"/>
                      <w:divBdr>
                        <w:top w:val="none" w:sz="0" w:space="0" w:color="auto"/>
                        <w:left w:val="none" w:sz="0" w:space="0" w:color="auto"/>
                        <w:bottom w:val="none" w:sz="0" w:space="0" w:color="auto"/>
                        <w:right w:val="none" w:sz="0" w:space="0" w:color="auto"/>
                      </w:divBdr>
                      <w:divsChild>
                        <w:div w:id="54014506">
                          <w:marLeft w:val="0"/>
                          <w:marRight w:val="0"/>
                          <w:marTop w:val="0"/>
                          <w:marBottom w:val="0"/>
                          <w:divBdr>
                            <w:top w:val="none" w:sz="0" w:space="0" w:color="auto"/>
                            <w:left w:val="none" w:sz="0" w:space="0" w:color="auto"/>
                            <w:bottom w:val="none" w:sz="0" w:space="0" w:color="auto"/>
                            <w:right w:val="none" w:sz="0" w:space="0" w:color="auto"/>
                          </w:divBdr>
                          <w:divsChild>
                            <w:div w:id="17739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810974">
      <w:bodyDiv w:val="1"/>
      <w:marLeft w:val="0"/>
      <w:marRight w:val="0"/>
      <w:marTop w:val="0"/>
      <w:marBottom w:val="0"/>
      <w:divBdr>
        <w:top w:val="none" w:sz="0" w:space="0" w:color="auto"/>
        <w:left w:val="none" w:sz="0" w:space="0" w:color="auto"/>
        <w:bottom w:val="none" w:sz="0" w:space="0" w:color="auto"/>
        <w:right w:val="none" w:sz="0" w:space="0" w:color="auto"/>
      </w:divBdr>
    </w:div>
    <w:div w:id="76927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0040-0CCC-4F58-819D-75871FD7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Alfaro</dc:creator>
  <cp:keywords/>
  <dc:description/>
  <cp:lastModifiedBy>Will Leiner</cp:lastModifiedBy>
  <cp:revision>46</cp:revision>
  <dcterms:created xsi:type="dcterms:W3CDTF">2022-08-07T21:17:00Z</dcterms:created>
  <dcterms:modified xsi:type="dcterms:W3CDTF">2022-08-09T21:16:00Z</dcterms:modified>
</cp:coreProperties>
</file>