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8561D" w14:textId="77777777" w:rsidR="00C80132" w:rsidRDefault="00C80132" w:rsidP="00C80132">
      <w:pPr>
        <w:pStyle w:val="Title"/>
      </w:pPr>
      <w:bookmarkStart w:id="0" w:name="_Toc428549008"/>
      <w:bookmarkStart w:id="1" w:name="_GoBack"/>
      <w:bookmarkEnd w:id="1"/>
      <w:r w:rsidRPr="00C80132">
        <w:t>OCRA SEMI-ANNUAL REPORT</w:t>
      </w:r>
    </w:p>
    <w:p w14:paraId="2F4CA26D" w14:textId="77777777" w:rsidR="00C80132" w:rsidRDefault="00C80132" w:rsidP="00C80132">
      <w:pPr>
        <w:pStyle w:val="Title"/>
      </w:pPr>
      <w:r>
        <w:t>(July 1, 2015 – December 31, 2015)</w:t>
      </w:r>
    </w:p>
    <w:p w14:paraId="2A000E3C" w14:textId="77777777" w:rsidR="00C80132" w:rsidRDefault="00C80132" w:rsidP="00C80132">
      <w:pPr>
        <w:jc w:val="center"/>
        <w:rPr>
          <w:u w:val="single"/>
        </w:rPr>
      </w:pPr>
    </w:p>
    <w:p w14:paraId="5F2ED715" w14:textId="77777777" w:rsidR="00C80132" w:rsidRDefault="00C80132" w:rsidP="00C80132">
      <w:pPr>
        <w:jc w:val="center"/>
        <w:rPr>
          <w:u w:val="single"/>
        </w:rPr>
      </w:pPr>
      <w:r w:rsidRPr="00C80132">
        <w:rPr>
          <w:u w:val="single"/>
        </w:rPr>
        <w:t>TABLE OF CONTENTS</w:t>
      </w:r>
    </w:p>
    <w:p w14:paraId="22FE1ED1" w14:textId="77777777" w:rsidR="00C80132" w:rsidRDefault="00C80132" w:rsidP="00C80132">
      <w:pPr>
        <w:ind w:left="7920"/>
        <w:jc w:val="center"/>
        <w:rPr>
          <w:u w:val="single"/>
        </w:rPr>
      </w:pPr>
      <w:r w:rsidRPr="00C80132">
        <w:rPr>
          <w:u w:val="single"/>
        </w:rPr>
        <w:t>PAGE</w:t>
      </w:r>
    </w:p>
    <w:sdt>
      <w:sdtPr>
        <w:rPr>
          <w:rFonts w:ascii="Arial" w:eastAsiaTheme="minorHAnsi" w:hAnsi="Arial" w:cs="Arial"/>
          <w:color w:val="auto"/>
          <w:sz w:val="28"/>
          <w:szCs w:val="28"/>
        </w:rPr>
        <w:id w:val="1513027921"/>
        <w:docPartObj>
          <w:docPartGallery w:val="Table of Contents"/>
          <w:docPartUnique/>
        </w:docPartObj>
      </w:sdtPr>
      <w:sdtEndPr>
        <w:rPr>
          <w:b/>
          <w:bCs/>
          <w:noProof/>
        </w:rPr>
      </w:sdtEndPr>
      <w:sdtContent>
        <w:p w14:paraId="09F0F7C5" w14:textId="77777777" w:rsidR="00C80132" w:rsidRDefault="00C80132">
          <w:pPr>
            <w:pStyle w:val="TOCHeading"/>
          </w:pPr>
        </w:p>
        <w:p w14:paraId="047A77D2" w14:textId="77777777" w:rsidR="00791A44" w:rsidRDefault="00C80132">
          <w:pPr>
            <w:pStyle w:val="TOC1"/>
            <w:tabs>
              <w:tab w:val="left" w:pos="5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1673585" w:history="1">
            <w:r w:rsidR="00791A44" w:rsidRPr="00F31615">
              <w:rPr>
                <w:rStyle w:val="Hyperlink"/>
                <w:noProof/>
              </w:rPr>
              <w:t>I.</w:t>
            </w:r>
            <w:r w:rsidR="00791A44">
              <w:rPr>
                <w:rFonts w:asciiTheme="minorHAnsi" w:eastAsiaTheme="minorEastAsia" w:hAnsiTheme="minorHAnsi" w:cstheme="minorBidi"/>
                <w:noProof/>
                <w:sz w:val="22"/>
                <w:szCs w:val="22"/>
              </w:rPr>
              <w:tab/>
            </w:r>
            <w:r w:rsidR="00791A44" w:rsidRPr="00F31615">
              <w:rPr>
                <w:rStyle w:val="Hyperlink"/>
                <w:noProof/>
              </w:rPr>
              <w:t>INTRODUCTION</w:t>
            </w:r>
            <w:r w:rsidR="00791A44">
              <w:rPr>
                <w:noProof/>
                <w:webHidden/>
              </w:rPr>
              <w:tab/>
            </w:r>
            <w:r w:rsidR="00791A44">
              <w:rPr>
                <w:noProof/>
                <w:webHidden/>
              </w:rPr>
              <w:fldChar w:fldCharType="begin"/>
            </w:r>
            <w:r w:rsidR="00791A44">
              <w:rPr>
                <w:noProof/>
                <w:webHidden/>
              </w:rPr>
              <w:instrText xml:space="preserve"> PAGEREF _Toc441673585 \h </w:instrText>
            </w:r>
            <w:r w:rsidR="00791A44">
              <w:rPr>
                <w:noProof/>
                <w:webHidden/>
              </w:rPr>
            </w:r>
            <w:r w:rsidR="00791A44">
              <w:rPr>
                <w:noProof/>
                <w:webHidden/>
              </w:rPr>
              <w:fldChar w:fldCharType="separate"/>
            </w:r>
            <w:r w:rsidR="00EB2C97">
              <w:rPr>
                <w:noProof/>
                <w:webHidden/>
              </w:rPr>
              <w:t>3</w:t>
            </w:r>
            <w:r w:rsidR="00791A44">
              <w:rPr>
                <w:noProof/>
                <w:webHidden/>
              </w:rPr>
              <w:fldChar w:fldCharType="end"/>
            </w:r>
          </w:hyperlink>
        </w:p>
        <w:p w14:paraId="695359A6" w14:textId="77777777" w:rsidR="00791A44" w:rsidRDefault="00EB2C97">
          <w:pPr>
            <w:pStyle w:val="TOC1"/>
            <w:tabs>
              <w:tab w:val="left" w:pos="560"/>
              <w:tab w:val="right" w:leader="dot" w:pos="9350"/>
            </w:tabs>
            <w:rPr>
              <w:rFonts w:asciiTheme="minorHAnsi" w:eastAsiaTheme="minorEastAsia" w:hAnsiTheme="minorHAnsi" w:cstheme="minorBidi"/>
              <w:noProof/>
              <w:sz w:val="22"/>
              <w:szCs w:val="22"/>
            </w:rPr>
          </w:pPr>
          <w:hyperlink w:anchor="_Toc441673586" w:history="1">
            <w:r w:rsidR="00791A44" w:rsidRPr="00F31615">
              <w:rPr>
                <w:rStyle w:val="Hyperlink"/>
                <w:noProof/>
              </w:rPr>
              <w:t>II.</w:t>
            </w:r>
            <w:r w:rsidR="00791A44">
              <w:rPr>
                <w:rFonts w:asciiTheme="minorHAnsi" w:eastAsiaTheme="minorEastAsia" w:hAnsiTheme="minorHAnsi" w:cstheme="minorBidi"/>
                <w:noProof/>
                <w:sz w:val="22"/>
                <w:szCs w:val="22"/>
              </w:rPr>
              <w:tab/>
            </w:r>
            <w:r w:rsidR="00791A44" w:rsidRPr="00F31615">
              <w:rPr>
                <w:rStyle w:val="Hyperlink"/>
                <w:noProof/>
              </w:rPr>
              <w:t>PERFORMANCE OBJECTIVES</w:t>
            </w:r>
            <w:r w:rsidR="00791A44">
              <w:rPr>
                <w:noProof/>
                <w:webHidden/>
              </w:rPr>
              <w:tab/>
            </w:r>
            <w:r w:rsidR="00791A44">
              <w:rPr>
                <w:noProof/>
                <w:webHidden/>
              </w:rPr>
              <w:fldChar w:fldCharType="begin"/>
            </w:r>
            <w:r w:rsidR="00791A44">
              <w:rPr>
                <w:noProof/>
                <w:webHidden/>
              </w:rPr>
              <w:instrText xml:space="preserve"> PAGEREF _Toc441673586 \h </w:instrText>
            </w:r>
            <w:r w:rsidR="00791A44">
              <w:rPr>
                <w:noProof/>
                <w:webHidden/>
              </w:rPr>
            </w:r>
            <w:r w:rsidR="00791A44">
              <w:rPr>
                <w:noProof/>
                <w:webHidden/>
              </w:rPr>
              <w:fldChar w:fldCharType="separate"/>
            </w:r>
            <w:r>
              <w:rPr>
                <w:noProof/>
                <w:webHidden/>
              </w:rPr>
              <w:t>4</w:t>
            </w:r>
            <w:r w:rsidR="00791A44">
              <w:rPr>
                <w:noProof/>
                <w:webHidden/>
              </w:rPr>
              <w:fldChar w:fldCharType="end"/>
            </w:r>
          </w:hyperlink>
        </w:p>
        <w:p w14:paraId="3DA33582" w14:textId="77777777" w:rsidR="00791A44" w:rsidRDefault="00EB2C97">
          <w:pPr>
            <w:pStyle w:val="TOC2"/>
            <w:tabs>
              <w:tab w:val="left" w:pos="880"/>
              <w:tab w:val="right" w:leader="dot" w:pos="9350"/>
            </w:tabs>
            <w:rPr>
              <w:rFonts w:asciiTheme="minorHAnsi" w:eastAsiaTheme="minorEastAsia" w:hAnsiTheme="minorHAnsi" w:cstheme="minorBidi"/>
              <w:noProof/>
              <w:sz w:val="22"/>
              <w:szCs w:val="22"/>
            </w:rPr>
          </w:pPr>
          <w:hyperlink w:anchor="_Toc441673587" w:history="1">
            <w:r w:rsidR="00791A44" w:rsidRPr="00F31615">
              <w:rPr>
                <w:rStyle w:val="Hyperlink"/>
                <w:noProof/>
              </w:rPr>
              <w:t>A.</w:t>
            </w:r>
            <w:r w:rsidR="00791A44">
              <w:rPr>
                <w:rFonts w:asciiTheme="minorHAnsi" w:eastAsiaTheme="minorEastAsia" w:hAnsiTheme="minorHAnsi" w:cstheme="minorBidi"/>
                <w:noProof/>
                <w:sz w:val="22"/>
                <w:szCs w:val="22"/>
              </w:rPr>
              <w:tab/>
            </w:r>
            <w:r w:rsidR="00791A44" w:rsidRPr="00F31615">
              <w:rPr>
                <w:rStyle w:val="Hyperlink"/>
                <w:noProof/>
              </w:rPr>
              <w:t>Services are provided in a manner that maximizes staff and operational resources.</w:t>
            </w:r>
            <w:r w:rsidR="00791A44">
              <w:rPr>
                <w:noProof/>
                <w:webHidden/>
              </w:rPr>
              <w:tab/>
            </w:r>
            <w:r w:rsidR="00791A44">
              <w:rPr>
                <w:noProof/>
                <w:webHidden/>
              </w:rPr>
              <w:fldChar w:fldCharType="begin"/>
            </w:r>
            <w:r w:rsidR="00791A44">
              <w:rPr>
                <w:noProof/>
                <w:webHidden/>
              </w:rPr>
              <w:instrText xml:space="preserve"> PAGEREF _Toc441673587 \h </w:instrText>
            </w:r>
            <w:r w:rsidR="00791A44">
              <w:rPr>
                <w:noProof/>
                <w:webHidden/>
              </w:rPr>
            </w:r>
            <w:r w:rsidR="00791A44">
              <w:rPr>
                <w:noProof/>
                <w:webHidden/>
              </w:rPr>
              <w:fldChar w:fldCharType="separate"/>
            </w:r>
            <w:r>
              <w:rPr>
                <w:noProof/>
                <w:webHidden/>
              </w:rPr>
              <w:t>5</w:t>
            </w:r>
            <w:r w:rsidR="00791A44">
              <w:rPr>
                <w:noProof/>
                <w:webHidden/>
              </w:rPr>
              <w:fldChar w:fldCharType="end"/>
            </w:r>
          </w:hyperlink>
        </w:p>
        <w:p w14:paraId="39488DE6"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88" w:history="1">
            <w:r w:rsidR="00791A44" w:rsidRPr="00F31615">
              <w:rPr>
                <w:rStyle w:val="Hyperlink"/>
                <w:noProof/>
              </w:rPr>
              <w:t>1) Advocacy Reports.</w:t>
            </w:r>
            <w:r w:rsidR="00791A44">
              <w:rPr>
                <w:noProof/>
                <w:webHidden/>
              </w:rPr>
              <w:tab/>
            </w:r>
            <w:r w:rsidR="00791A44">
              <w:rPr>
                <w:noProof/>
                <w:webHidden/>
              </w:rPr>
              <w:fldChar w:fldCharType="begin"/>
            </w:r>
            <w:r w:rsidR="00791A44">
              <w:rPr>
                <w:noProof/>
                <w:webHidden/>
              </w:rPr>
              <w:instrText xml:space="preserve"> PAGEREF _Toc441673588 \h </w:instrText>
            </w:r>
            <w:r w:rsidR="00791A44">
              <w:rPr>
                <w:noProof/>
                <w:webHidden/>
              </w:rPr>
            </w:r>
            <w:r w:rsidR="00791A44">
              <w:rPr>
                <w:noProof/>
                <w:webHidden/>
              </w:rPr>
              <w:fldChar w:fldCharType="separate"/>
            </w:r>
            <w:r>
              <w:rPr>
                <w:noProof/>
                <w:webHidden/>
              </w:rPr>
              <w:t>5</w:t>
            </w:r>
            <w:r w:rsidR="00791A44">
              <w:rPr>
                <w:noProof/>
                <w:webHidden/>
              </w:rPr>
              <w:fldChar w:fldCharType="end"/>
            </w:r>
          </w:hyperlink>
        </w:p>
        <w:p w14:paraId="2F7889F2"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89" w:history="1">
            <w:r w:rsidR="00791A44" w:rsidRPr="00F31615">
              <w:rPr>
                <w:rStyle w:val="Hyperlink"/>
                <w:noProof/>
              </w:rPr>
              <w:t>2) Analysis of Consumers Served.</w:t>
            </w:r>
            <w:r w:rsidR="00791A44">
              <w:rPr>
                <w:noProof/>
                <w:webHidden/>
              </w:rPr>
              <w:tab/>
            </w:r>
            <w:r w:rsidR="00791A44">
              <w:rPr>
                <w:noProof/>
                <w:webHidden/>
              </w:rPr>
              <w:fldChar w:fldCharType="begin"/>
            </w:r>
            <w:r w:rsidR="00791A44">
              <w:rPr>
                <w:noProof/>
                <w:webHidden/>
              </w:rPr>
              <w:instrText xml:space="preserve"> PAGEREF _Toc441673589 \h </w:instrText>
            </w:r>
            <w:r w:rsidR="00791A44">
              <w:rPr>
                <w:noProof/>
                <w:webHidden/>
              </w:rPr>
            </w:r>
            <w:r w:rsidR="00791A44">
              <w:rPr>
                <w:noProof/>
                <w:webHidden/>
              </w:rPr>
              <w:fldChar w:fldCharType="separate"/>
            </w:r>
            <w:r>
              <w:rPr>
                <w:noProof/>
                <w:webHidden/>
              </w:rPr>
              <w:t>6</w:t>
            </w:r>
            <w:r w:rsidR="00791A44">
              <w:rPr>
                <w:noProof/>
                <w:webHidden/>
              </w:rPr>
              <w:fldChar w:fldCharType="end"/>
            </w:r>
          </w:hyperlink>
        </w:p>
        <w:p w14:paraId="3E50D724"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0" w:history="1">
            <w:r w:rsidR="00791A44" w:rsidRPr="00F31615">
              <w:rPr>
                <w:rStyle w:val="Hyperlink"/>
                <w:noProof/>
              </w:rPr>
              <w:t>3) Analysis of Consumers Assisted with Moving to a Less Restrictive Living Arrangement.</w:t>
            </w:r>
            <w:r w:rsidR="00791A44">
              <w:rPr>
                <w:noProof/>
                <w:webHidden/>
              </w:rPr>
              <w:tab/>
            </w:r>
            <w:r w:rsidR="00791A44">
              <w:rPr>
                <w:noProof/>
                <w:webHidden/>
              </w:rPr>
              <w:fldChar w:fldCharType="begin"/>
            </w:r>
            <w:r w:rsidR="00791A44">
              <w:rPr>
                <w:noProof/>
                <w:webHidden/>
              </w:rPr>
              <w:instrText xml:space="preserve"> PAGEREF _Toc441673590 \h </w:instrText>
            </w:r>
            <w:r w:rsidR="00791A44">
              <w:rPr>
                <w:noProof/>
                <w:webHidden/>
              </w:rPr>
            </w:r>
            <w:r w:rsidR="00791A44">
              <w:rPr>
                <w:noProof/>
                <w:webHidden/>
              </w:rPr>
              <w:fldChar w:fldCharType="separate"/>
            </w:r>
            <w:r>
              <w:rPr>
                <w:noProof/>
                <w:webHidden/>
              </w:rPr>
              <w:t>7</w:t>
            </w:r>
            <w:r w:rsidR="00791A44">
              <w:rPr>
                <w:noProof/>
                <w:webHidden/>
              </w:rPr>
              <w:fldChar w:fldCharType="end"/>
            </w:r>
          </w:hyperlink>
        </w:p>
        <w:p w14:paraId="3E5A4BD5"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1" w:history="1">
            <w:r w:rsidR="00791A44" w:rsidRPr="00F31615">
              <w:rPr>
                <w:rStyle w:val="Hyperlink"/>
                <w:noProof/>
              </w:rPr>
              <w:t>4) Outreach/Training.</w:t>
            </w:r>
            <w:r w:rsidR="00791A44">
              <w:rPr>
                <w:noProof/>
                <w:webHidden/>
              </w:rPr>
              <w:tab/>
            </w:r>
            <w:r w:rsidR="00791A44">
              <w:rPr>
                <w:noProof/>
                <w:webHidden/>
              </w:rPr>
              <w:fldChar w:fldCharType="begin"/>
            </w:r>
            <w:r w:rsidR="00791A44">
              <w:rPr>
                <w:noProof/>
                <w:webHidden/>
              </w:rPr>
              <w:instrText xml:space="preserve"> PAGEREF _Toc441673591 \h </w:instrText>
            </w:r>
            <w:r w:rsidR="00791A44">
              <w:rPr>
                <w:noProof/>
                <w:webHidden/>
              </w:rPr>
            </w:r>
            <w:r w:rsidR="00791A44">
              <w:rPr>
                <w:noProof/>
                <w:webHidden/>
              </w:rPr>
              <w:fldChar w:fldCharType="separate"/>
            </w:r>
            <w:r>
              <w:rPr>
                <w:noProof/>
                <w:webHidden/>
              </w:rPr>
              <w:t>9</w:t>
            </w:r>
            <w:r w:rsidR="00791A44">
              <w:rPr>
                <w:noProof/>
                <w:webHidden/>
              </w:rPr>
              <w:fldChar w:fldCharType="end"/>
            </w:r>
          </w:hyperlink>
        </w:p>
        <w:p w14:paraId="291BF65C" w14:textId="77777777" w:rsidR="00791A44" w:rsidRDefault="00EB2C97">
          <w:pPr>
            <w:pStyle w:val="TOC2"/>
            <w:tabs>
              <w:tab w:val="left" w:pos="880"/>
              <w:tab w:val="right" w:leader="dot" w:pos="9350"/>
            </w:tabs>
            <w:rPr>
              <w:rFonts w:asciiTheme="minorHAnsi" w:eastAsiaTheme="minorEastAsia" w:hAnsiTheme="minorHAnsi" w:cstheme="minorBidi"/>
              <w:noProof/>
              <w:sz w:val="22"/>
              <w:szCs w:val="22"/>
            </w:rPr>
          </w:pPr>
          <w:hyperlink w:anchor="_Toc441673592" w:history="1">
            <w:r w:rsidR="00791A44" w:rsidRPr="00F31615">
              <w:rPr>
                <w:rStyle w:val="Hyperlink"/>
                <w:noProof/>
              </w:rPr>
              <w:t>B.</w:t>
            </w:r>
            <w:r w:rsidR="00791A44">
              <w:rPr>
                <w:rFonts w:asciiTheme="minorHAnsi" w:eastAsiaTheme="minorEastAsia" w:hAnsiTheme="minorHAnsi" w:cstheme="minorBidi"/>
                <w:noProof/>
                <w:sz w:val="22"/>
                <w:szCs w:val="22"/>
              </w:rPr>
              <w:tab/>
            </w:r>
            <w:r w:rsidR="00791A44" w:rsidRPr="00F31615">
              <w:rPr>
                <w:rStyle w:val="Hyperlink"/>
                <w:noProof/>
              </w:rPr>
              <w:t>Issues and complaints are resolved expeditiously and at the lowest level of appropriate intervention.</w:t>
            </w:r>
            <w:r w:rsidR="00791A44">
              <w:rPr>
                <w:noProof/>
                <w:webHidden/>
              </w:rPr>
              <w:tab/>
            </w:r>
            <w:r w:rsidR="00791A44">
              <w:rPr>
                <w:noProof/>
                <w:webHidden/>
              </w:rPr>
              <w:fldChar w:fldCharType="begin"/>
            </w:r>
            <w:r w:rsidR="00791A44">
              <w:rPr>
                <w:noProof/>
                <w:webHidden/>
              </w:rPr>
              <w:instrText xml:space="preserve"> PAGEREF _Toc441673592 \h </w:instrText>
            </w:r>
            <w:r w:rsidR="00791A44">
              <w:rPr>
                <w:noProof/>
                <w:webHidden/>
              </w:rPr>
            </w:r>
            <w:r w:rsidR="00791A44">
              <w:rPr>
                <w:noProof/>
                <w:webHidden/>
              </w:rPr>
              <w:fldChar w:fldCharType="separate"/>
            </w:r>
            <w:r>
              <w:rPr>
                <w:noProof/>
                <w:webHidden/>
              </w:rPr>
              <w:t>11</w:t>
            </w:r>
            <w:r w:rsidR="00791A44">
              <w:rPr>
                <w:noProof/>
                <w:webHidden/>
              </w:rPr>
              <w:fldChar w:fldCharType="end"/>
            </w:r>
          </w:hyperlink>
        </w:p>
        <w:p w14:paraId="30C6E1F1" w14:textId="77777777" w:rsidR="00791A44" w:rsidRDefault="00EB2C97">
          <w:pPr>
            <w:pStyle w:val="TOC2"/>
            <w:tabs>
              <w:tab w:val="left" w:pos="880"/>
              <w:tab w:val="right" w:leader="dot" w:pos="9350"/>
            </w:tabs>
            <w:rPr>
              <w:rFonts w:asciiTheme="minorHAnsi" w:eastAsiaTheme="minorEastAsia" w:hAnsiTheme="minorHAnsi" w:cstheme="minorBidi"/>
              <w:noProof/>
              <w:sz w:val="22"/>
              <w:szCs w:val="22"/>
            </w:rPr>
          </w:pPr>
          <w:hyperlink w:anchor="_Toc441673593" w:history="1">
            <w:r w:rsidR="00791A44" w:rsidRPr="00F31615">
              <w:rPr>
                <w:rStyle w:val="Hyperlink"/>
                <w:noProof/>
              </w:rPr>
              <w:t>C.</w:t>
            </w:r>
            <w:r w:rsidR="00791A44">
              <w:rPr>
                <w:rFonts w:asciiTheme="minorHAnsi" w:eastAsiaTheme="minorEastAsia" w:hAnsiTheme="minorHAnsi" w:cstheme="minorBidi"/>
                <w:noProof/>
                <w:sz w:val="22"/>
                <w:szCs w:val="22"/>
              </w:rPr>
              <w:tab/>
            </w:r>
            <w:r w:rsidR="00791A44" w:rsidRPr="00F31615">
              <w:rPr>
                <w:rStyle w:val="Hyperlink"/>
                <w:noProof/>
              </w:rPr>
              <w:t>Collaborative and harmonious working relationships are fostered.</w:t>
            </w:r>
            <w:r w:rsidR="00791A44">
              <w:rPr>
                <w:noProof/>
                <w:webHidden/>
              </w:rPr>
              <w:tab/>
            </w:r>
            <w:r w:rsidR="00791A44">
              <w:rPr>
                <w:noProof/>
                <w:webHidden/>
              </w:rPr>
              <w:fldChar w:fldCharType="begin"/>
            </w:r>
            <w:r w:rsidR="00791A44">
              <w:rPr>
                <w:noProof/>
                <w:webHidden/>
              </w:rPr>
              <w:instrText xml:space="preserve"> PAGEREF _Toc441673593 \h </w:instrText>
            </w:r>
            <w:r w:rsidR="00791A44">
              <w:rPr>
                <w:noProof/>
                <w:webHidden/>
              </w:rPr>
            </w:r>
            <w:r w:rsidR="00791A44">
              <w:rPr>
                <w:noProof/>
                <w:webHidden/>
              </w:rPr>
              <w:fldChar w:fldCharType="separate"/>
            </w:r>
            <w:r>
              <w:rPr>
                <w:noProof/>
                <w:webHidden/>
              </w:rPr>
              <w:t>11</w:t>
            </w:r>
            <w:r w:rsidR="00791A44">
              <w:rPr>
                <w:noProof/>
                <w:webHidden/>
              </w:rPr>
              <w:fldChar w:fldCharType="end"/>
            </w:r>
          </w:hyperlink>
        </w:p>
        <w:p w14:paraId="58D6AF12"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4" w:history="1">
            <w:r w:rsidR="00791A44" w:rsidRPr="00F31615">
              <w:rPr>
                <w:rStyle w:val="Hyperlink"/>
                <w:noProof/>
              </w:rPr>
              <w:t>1) Memorandums of Understanding.</w:t>
            </w:r>
            <w:r w:rsidR="00791A44">
              <w:rPr>
                <w:noProof/>
                <w:webHidden/>
              </w:rPr>
              <w:tab/>
            </w:r>
            <w:r w:rsidR="00791A44">
              <w:rPr>
                <w:noProof/>
                <w:webHidden/>
              </w:rPr>
              <w:fldChar w:fldCharType="begin"/>
            </w:r>
            <w:r w:rsidR="00791A44">
              <w:rPr>
                <w:noProof/>
                <w:webHidden/>
              </w:rPr>
              <w:instrText xml:space="preserve"> PAGEREF _Toc441673594 \h </w:instrText>
            </w:r>
            <w:r w:rsidR="00791A44">
              <w:rPr>
                <w:noProof/>
                <w:webHidden/>
              </w:rPr>
            </w:r>
            <w:r w:rsidR="00791A44">
              <w:rPr>
                <w:noProof/>
                <w:webHidden/>
              </w:rPr>
              <w:fldChar w:fldCharType="separate"/>
            </w:r>
            <w:r>
              <w:rPr>
                <w:noProof/>
                <w:webHidden/>
              </w:rPr>
              <w:t>12</w:t>
            </w:r>
            <w:r w:rsidR="00791A44">
              <w:rPr>
                <w:noProof/>
                <w:webHidden/>
              </w:rPr>
              <w:fldChar w:fldCharType="end"/>
            </w:r>
          </w:hyperlink>
        </w:p>
        <w:p w14:paraId="3F071B2F"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5" w:history="1">
            <w:r w:rsidR="00791A44" w:rsidRPr="00F31615">
              <w:rPr>
                <w:rStyle w:val="Hyperlink"/>
                <w:noProof/>
              </w:rPr>
              <w:t>2) Meeting with Association of Regional Center Agencies (ARCA).</w:t>
            </w:r>
            <w:r w:rsidR="00791A44">
              <w:rPr>
                <w:noProof/>
                <w:webHidden/>
              </w:rPr>
              <w:tab/>
            </w:r>
            <w:r w:rsidR="00791A44">
              <w:rPr>
                <w:noProof/>
                <w:webHidden/>
              </w:rPr>
              <w:fldChar w:fldCharType="begin"/>
            </w:r>
            <w:r w:rsidR="00791A44">
              <w:rPr>
                <w:noProof/>
                <w:webHidden/>
              </w:rPr>
              <w:instrText xml:space="preserve"> PAGEREF _Toc441673595 \h </w:instrText>
            </w:r>
            <w:r w:rsidR="00791A44">
              <w:rPr>
                <w:noProof/>
                <w:webHidden/>
              </w:rPr>
            </w:r>
            <w:r w:rsidR="00791A44">
              <w:rPr>
                <w:noProof/>
                <w:webHidden/>
              </w:rPr>
              <w:fldChar w:fldCharType="separate"/>
            </w:r>
            <w:r>
              <w:rPr>
                <w:noProof/>
                <w:webHidden/>
              </w:rPr>
              <w:t>12</w:t>
            </w:r>
            <w:r w:rsidR="00791A44">
              <w:rPr>
                <w:noProof/>
                <w:webHidden/>
              </w:rPr>
              <w:fldChar w:fldCharType="end"/>
            </w:r>
          </w:hyperlink>
        </w:p>
        <w:p w14:paraId="0EAAA528" w14:textId="77777777" w:rsidR="00791A44" w:rsidRDefault="00EB2C97">
          <w:pPr>
            <w:pStyle w:val="TOC2"/>
            <w:tabs>
              <w:tab w:val="right" w:leader="dot" w:pos="9350"/>
            </w:tabs>
            <w:rPr>
              <w:rFonts w:asciiTheme="minorHAnsi" w:eastAsiaTheme="minorEastAsia" w:hAnsiTheme="minorHAnsi" w:cstheme="minorBidi"/>
              <w:noProof/>
              <w:sz w:val="22"/>
              <w:szCs w:val="22"/>
            </w:rPr>
          </w:pPr>
          <w:hyperlink w:anchor="_Toc441673596" w:history="1">
            <w:r w:rsidR="00791A44" w:rsidRPr="00F31615">
              <w:rPr>
                <w:rStyle w:val="Hyperlink"/>
                <w:noProof/>
              </w:rPr>
              <w:t>D. Consumers and families are satisfied with the services provided.</w:t>
            </w:r>
            <w:r w:rsidR="00791A44">
              <w:rPr>
                <w:noProof/>
                <w:webHidden/>
              </w:rPr>
              <w:tab/>
            </w:r>
            <w:r w:rsidR="00791A44">
              <w:rPr>
                <w:noProof/>
                <w:webHidden/>
              </w:rPr>
              <w:fldChar w:fldCharType="begin"/>
            </w:r>
            <w:r w:rsidR="00791A44">
              <w:rPr>
                <w:noProof/>
                <w:webHidden/>
              </w:rPr>
              <w:instrText xml:space="preserve"> PAGEREF _Toc441673596 \h </w:instrText>
            </w:r>
            <w:r w:rsidR="00791A44">
              <w:rPr>
                <w:noProof/>
                <w:webHidden/>
              </w:rPr>
            </w:r>
            <w:r w:rsidR="00791A44">
              <w:rPr>
                <w:noProof/>
                <w:webHidden/>
              </w:rPr>
              <w:fldChar w:fldCharType="separate"/>
            </w:r>
            <w:r>
              <w:rPr>
                <w:noProof/>
                <w:webHidden/>
              </w:rPr>
              <w:t>12</w:t>
            </w:r>
            <w:r w:rsidR="00791A44">
              <w:rPr>
                <w:noProof/>
                <w:webHidden/>
              </w:rPr>
              <w:fldChar w:fldCharType="end"/>
            </w:r>
          </w:hyperlink>
        </w:p>
        <w:p w14:paraId="438EA328"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7" w:history="1">
            <w:r w:rsidR="00791A44" w:rsidRPr="00F31615">
              <w:rPr>
                <w:rStyle w:val="Hyperlink"/>
                <w:noProof/>
              </w:rPr>
              <w:t>1) Consumer Satisfaction Survey.</w:t>
            </w:r>
            <w:r w:rsidR="00791A44">
              <w:rPr>
                <w:noProof/>
                <w:webHidden/>
              </w:rPr>
              <w:tab/>
            </w:r>
            <w:r w:rsidR="00791A44">
              <w:rPr>
                <w:noProof/>
                <w:webHidden/>
              </w:rPr>
              <w:fldChar w:fldCharType="begin"/>
            </w:r>
            <w:r w:rsidR="00791A44">
              <w:rPr>
                <w:noProof/>
                <w:webHidden/>
              </w:rPr>
              <w:instrText xml:space="preserve"> PAGEREF _Toc441673597 \h </w:instrText>
            </w:r>
            <w:r w:rsidR="00791A44">
              <w:rPr>
                <w:noProof/>
                <w:webHidden/>
              </w:rPr>
            </w:r>
            <w:r w:rsidR="00791A44">
              <w:rPr>
                <w:noProof/>
                <w:webHidden/>
              </w:rPr>
              <w:fldChar w:fldCharType="separate"/>
            </w:r>
            <w:r>
              <w:rPr>
                <w:noProof/>
                <w:webHidden/>
              </w:rPr>
              <w:t>12</w:t>
            </w:r>
            <w:r w:rsidR="00791A44">
              <w:rPr>
                <w:noProof/>
                <w:webHidden/>
              </w:rPr>
              <w:fldChar w:fldCharType="end"/>
            </w:r>
          </w:hyperlink>
        </w:p>
        <w:p w14:paraId="52161524"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8" w:history="1">
            <w:r w:rsidR="00791A44" w:rsidRPr="00F31615">
              <w:rPr>
                <w:rStyle w:val="Hyperlink"/>
                <w:noProof/>
              </w:rPr>
              <w:t>2) Letters of Appreciation.</w:t>
            </w:r>
            <w:r w:rsidR="00791A44">
              <w:rPr>
                <w:noProof/>
                <w:webHidden/>
              </w:rPr>
              <w:tab/>
            </w:r>
            <w:r w:rsidR="00791A44">
              <w:rPr>
                <w:noProof/>
                <w:webHidden/>
              </w:rPr>
              <w:fldChar w:fldCharType="begin"/>
            </w:r>
            <w:r w:rsidR="00791A44">
              <w:rPr>
                <w:noProof/>
                <w:webHidden/>
              </w:rPr>
              <w:instrText xml:space="preserve"> PAGEREF _Toc441673598 \h </w:instrText>
            </w:r>
            <w:r w:rsidR="00791A44">
              <w:rPr>
                <w:noProof/>
                <w:webHidden/>
              </w:rPr>
            </w:r>
            <w:r w:rsidR="00791A44">
              <w:rPr>
                <w:noProof/>
                <w:webHidden/>
              </w:rPr>
              <w:fldChar w:fldCharType="separate"/>
            </w:r>
            <w:r>
              <w:rPr>
                <w:noProof/>
                <w:webHidden/>
              </w:rPr>
              <w:t>13</w:t>
            </w:r>
            <w:r w:rsidR="00791A44">
              <w:rPr>
                <w:noProof/>
                <w:webHidden/>
              </w:rPr>
              <w:fldChar w:fldCharType="end"/>
            </w:r>
          </w:hyperlink>
        </w:p>
        <w:p w14:paraId="3435D73A" w14:textId="77777777" w:rsidR="00791A44" w:rsidRDefault="00EB2C97">
          <w:pPr>
            <w:pStyle w:val="TOC3"/>
            <w:tabs>
              <w:tab w:val="right" w:leader="dot" w:pos="9350"/>
            </w:tabs>
            <w:rPr>
              <w:rFonts w:asciiTheme="minorHAnsi" w:eastAsiaTheme="minorEastAsia" w:hAnsiTheme="minorHAnsi" w:cstheme="minorBidi"/>
              <w:noProof/>
              <w:sz w:val="22"/>
              <w:szCs w:val="22"/>
            </w:rPr>
          </w:pPr>
          <w:hyperlink w:anchor="_Toc441673599" w:history="1">
            <w:r w:rsidR="00791A44" w:rsidRPr="00F31615">
              <w:rPr>
                <w:rStyle w:val="Hyperlink"/>
                <w:noProof/>
              </w:rPr>
              <w:t>3) Cases will be handled in a timely manner.</w:t>
            </w:r>
            <w:r w:rsidR="00791A44">
              <w:rPr>
                <w:noProof/>
                <w:webHidden/>
              </w:rPr>
              <w:tab/>
            </w:r>
            <w:r w:rsidR="00791A44">
              <w:rPr>
                <w:noProof/>
                <w:webHidden/>
              </w:rPr>
              <w:fldChar w:fldCharType="begin"/>
            </w:r>
            <w:r w:rsidR="00791A44">
              <w:rPr>
                <w:noProof/>
                <w:webHidden/>
              </w:rPr>
              <w:instrText xml:space="preserve"> PAGEREF _Toc441673599 \h </w:instrText>
            </w:r>
            <w:r w:rsidR="00791A44">
              <w:rPr>
                <w:noProof/>
                <w:webHidden/>
              </w:rPr>
            </w:r>
            <w:r w:rsidR="00791A44">
              <w:rPr>
                <w:noProof/>
                <w:webHidden/>
              </w:rPr>
              <w:fldChar w:fldCharType="separate"/>
            </w:r>
            <w:r>
              <w:rPr>
                <w:noProof/>
                <w:webHidden/>
              </w:rPr>
              <w:t>18</w:t>
            </w:r>
            <w:r w:rsidR="00791A44">
              <w:rPr>
                <w:noProof/>
                <w:webHidden/>
              </w:rPr>
              <w:fldChar w:fldCharType="end"/>
            </w:r>
          </w:hyperlink>
        </w:p>
        <w:p w14:paraId="108E9B0C" w14:textId="77777777" w:rsidR="00791A44" w:rsidRDefault="00EB2C97">
          <w:pPr>
            <w:pStyle w:val="TOC2"/>
            <w:tabs>
              <w:tab w:val="left" w:pos="880"/>
              <w:tab w:val="right" w:leader="dot" w:pos="9350"/>
            </w:tabs>
            <w:rPr>
              <w:rFonts w:asciiTheme="minorHAnsi" w:eastAsiaTheme="minorEastAsia" w:hAnsiTheme="minorHAnsi" w:cstheme="minorBidi"/>
              <w:noProof/>
              <w:sz w:val="22"/>
              <w:szCs w:val="22"/>
            </w:rPr>
          </w:pPr>
          <w:hyperlink w:anchor="_Toc441673600" w:history="1">
            <w:r w:rsidR="00791A44" w:rsidRPr="00F31615">
              <w:rPr>
                <w:rStyle w:val="Hyperlink"/>
                <w:noProof/>
              </w:rPr>
              <w:t>E.</w:t>
            </w:r>
            <w:r w:rsidR="00791A44">
              <w:rPr>
                <w:rFonts w:asciiTheme="minorHAnsi" w:eastAsiaTheme="minorEastAsia" w:hAnsiTheme="minorHAnsi" w:cstheme="minorBidi"/>
                <w:noProof/>
                <w:sz w:val="22"/>
                <w:szCs w:val="22"/>
              </w:rPr>
              <w:tab/>
            </w:r>
            <w:r w:rsidR="00791A44" w:rsidRPr="00F31615">
              <w:rPr>
                <w:rStyle w:val="Hyperlink"/>
                <w:noProof/>
              </w:rPr>
              <w:t>The provision of clients’ rights advocacy services is coordinated in consultation with the DDS contract manager, stakeholder organizations, and persons with developmental disabilities and m their families representing California’s multi-cultural diversity.</w:t>
            </w:r>
            <w:r w:rsidR="00791A44">
              <w:rPr>
                <w:noProof/>
                <w:webHidden/>
              </w:rPr>
              <w:tab/>
            </w:r>
            <w:r w:rsidR="00791A44">
              <w:rPr>
                <w:noProof/>
                <w:webHidden/>
              </w:rPr>
              <w:fldChar w:fldCharType="begin"/>
            </w:r>
            <w:r w:rsidR="00791A44">
              <w:rPr>
                <w:noProof/>
                <w:webHidden/>
              </w:rPr>
              <w:instrText xml:space="preserve"> PAGEREF _Toc441673600 \h </w:instrText>
            </w:r>
            <w:r w:rsidR="00791A44">
              <w:rPr>
                <w:noProof/>
                <w:webHidden/>
              </w:rPr>
            </w:r>
            <w:r w:rsidR="00791A44">
              <w:rPr>
                <w:noProof/>
                <w:webHidden/>
              </w:rPr>
              <w:fldChar w:fldCharType="separate"/>
            </w:r>
            <w:r>
              <w:rPr>
                <w:noProof/>
                <w:webHidden/>
              </w:rPr>
              <w:t>18</w:t>
            </w:r>
            <w:r w:rsidR="00791A44">
              <w:rPr>
                <w:noProof/>
                <w:webHidden/>
              </w:rPr>
              <w:fldChar w:fldCharType="end"/>
            </w:r>
          </w:hyperlink>
        </w:p>
        <w:p w14:paraId="49DEE011" w14:textId="77777777" w:rsidR="00791A44" w:rsidRDefault="00EB2C97">
          <w:pPr>
            <w:pStyle w:val="TOC2"/>
            <w:tabs>
              <w:tab w:val="right" w:leader="dot" w:pos="9350"/>
            </w:tabs>
            <w:rPr>
              <w:rFonts w:asciiTheme="minorHAnsi" w:eastAsiaTheme="minorEastAsia" w:hAnsiTheme="minorHAnsi" w:cstheme="minorBidi"/>
              <w:noProof/>
              <w:sz w:val="22"/>
              <w:szCs w:val="22"/>
            </w:rPr>
          </w:pPr>
          <w:hyperlink w:anchor="_Toc441673601" w:history="1">
            <w:r w:rsidR="00791A44" w:rsidRPr="00F31615">
              <w:rPr>
                <w:rStyle w:val="Hyperlink"/>
                <w:noProof/>
              </w:rPr>
              <w:t>F. Self-advocacy training is provided for consumers and families at least twice in each fiscal year.</w:t>
            </w:r>
            <w:r w:rsidR="00791A44">
              <w:rPr>
                <w:noProof/>
                <w:webHidden/>
              </w:rPr>
              <w:tab/>
            </w:r>
            <w:r w:rsidR="00791A44">
              <w:rPr>
                <w:noProof/>
                <w:webHidden/>
              </w:rPr>
              <w:fldChar w:fldCharType="begin"/>
            </w:r>
            <w:r w:rsidR="00791A44">
              <w:rPr>
                <w:noProof/>
                <w:webHidden/>
              </w:rPr>
              <w:instrText xml:space="preserve"> PAGEREF _Toc441673601 \h </w:instrText>
            </w:r>
            <w:r w:rsidR="00791A44">
              <w:rPr>
                <w:noProof/>
                <w:webHidden/>
              </w:rPr>
            </w:r>
            <w:r w:rsidR="00791A44">
              <w:rPr>
                <w:noProof/>
                <w:webHidden/>
              </w:rPr>
              <w:fldChar w:fldCharType="separate"/>
            </w:r>
            <w:r>
              <w:rPr>
                <w:noProof/>
                <w:webHidden/>
              </w:rPr>
              <w:t>19</w:t>
            </w:r>
            <w:r w:rsidR="00791A44">
              <w:rPr>
                <w:noProof/>
                <w:webHidden/>
              </w:rPr>
              <w:fldChar w:fldCharType="end"/>
            </w:r>
          </w:hyperlink>
        </w:p>
        <w:p w14:paraId="0646DBAC" w14:textId="77777777" w:rsidR="00791A44" w:rsidRDefault="00EB2C97">
          <w:pPr>
            <w:pStyle w:val="TOC1"/>
            <w:tabs>
              <w:tab w:val="right" w:leader="dot" w:pos="9350"/>
            </w:tabs>
            <w:rPr>
              <w:rFonts w:asciiTheme="minorHAnsi" w:eastAsiaTheme="minorEastAsia" w:hAnsiTheme="minorHAnsi" w:cstheme="minorBidi"/>
              <w:noProof/>
              <w:sz w:val="22"/>
              <w:szCs w:val="22"/>
            </w:rPr>
          </w:pPr>
          <w:hyperlink w:anchor="_Toc441673602" w:history="1">
            <w:r w:rsidR="00791A44" w:rsidRPr="00F31615">
              <w:rPr>
                <w:rStyle w:val="Hyperlink"/>
                <w:noProof/>
              </w:rPr>
              <w:t>III. TITLE 17 COMPLAINTS</w:t>
            </w:r>
            <w:r w:rsidR="00791A44">
              <w:rPr>
                <w:noProof/>
                <w:webHidden/>
              </w:rPr>
              <w:tab/>
            </w:r>
            <w:r w:rsidR="00791A44">
              <w:rPr>
                <w:noProof/>
                <w:webHidden/>
              </w:rPr>
              <w:fldChar w:fldCharType="begin"/>
            </w:r>
            <w:r w:rsidR="00791A44">
              <w:rPr>
                <w:noProof/>
                <w:webHidden/>
              </w:rPr>
              <w:instrText xml:space="preserve"> PAGEREF _Toc441673602 \h </w:instrText>
            </w:r>
            <w:r w:rsidR="00791A44">
              <w:rPr>
                <w:noProof/>
                <w:webHidden/>
              </w:rPr>
            </w:r>
            <w:r w:rsidR="00791A44">
              <w:rPr>
                <w:noProof/>
                <w:webHidden/>
              </w:rPr>
              <w:fldChar w:fldCharType="separate"/>
            </w:r>
            <w:r>
              <w:rPr>
                <w:noProof/>
                <w:webHidden/>
              </w:rPr>
              <w:t>19</w:t>
            </w:r>
            <w:r w:rsidR="00791A44">
              <w:rPr>
                <w:noProof/>
                <w:webHidden/>
              </w:rPr>
              <w:fldChar w:fldCharType="end"/>
            </w:r>
          </w:hyperlink>
        </w:p>
        <w:p w14:paraId="676613BF" w14:textId="77777777" w:rsidR="00791A44" w:rsidRDefault="00EB2C97">
          <w:pPr>
            <w:pStyle w:val="TOC1"/>
            <w:tabs>
              <w:tab w:val="right" w:leader="dot" w:pos="9350"/>
            </w:tabs>
            <w:rPr>
              <w:rFonts w:asciiTheme="minorHAnsi" w:eastAsiaTheme="minorEastAsia" w:hAnsiTheme="minorHAnsi" w:cstheme="minorBidi"/>
              <w:noProof/>
              <w:sz w:val="22"/>
              <w:szCs w:val="22"/>
            </w:rPr>
          </w:pPr>
          <w:hyperlink w:anchor="_Toc441673603" w:history="1">
            <w:r w:rsidR="00791A44" w:rsidRPr="00F31615">
              <w:rPr>
                <w:rStyle w:val="Hyperlink"/>
                <w:noProof/>
              </w:rPr>
              <w:t>IV. DENIAL OF CLIENTS’ RIGHTS</w:t>
            </w:r>
            <w:r w:rsidR="00791A44">
              <w:rPr>
                <w:noProof/>
                <w:webHidden/>
              </w:rPr>
              <w:tab/>
            </w:r>
            <w:r w:rsidR="00791A44">
              <w:rPr>
                <w:noProof/>
                <w:webHidden/>
              </w:rPr>
              <w:fldChar w:fldCharType="begin"/>
            </w:r>
            <w:r w:rsidR="00791A44">
              <w:rPr>
                <w:noProof/>
                <w:webHidden/>
              </w:rPr>
              <w:instrText xml:space="preserve"> PAGEREF _Toc441673603 \h </w:instrText>
            </w:r>
            <w:r w:rsidR="00791A44">
              <w:rPr>
                <w:noProof/>
                <w:webHidden/>
              </w:rPr>
            </w:r>
            <w:r w:rsidR="00791A44">
              <w:rPr>
                <w:noProof/>
                <w:webHidden/>
              </w:rPr>
              <w:fldChar w:fldCharType="separate"/>
            </w:r>
            <w:r>
              <w:rPr>
                <w:noProof/>
                <w:webHidden/>
              </w:rPr>
              <w:t>20</w:t>
            </w:r>
            <w:r w:rsidR="00791A44">
              <w:rPr>
                <w:noProof/>
                <w:webHidden/>
              </w:rPr>
              <w:fldChar w:fldCharType="end"/>
            </w:r>
          </w:hyperlink>
        </w:p>
        <w:p w14:paraId="5210846A" w14:textId="77777777" w:rsidR="00791A44" w:rsidRDefault="00EB2C97">
          <w:pPr>
            <w:pStyle w:val="TOC1"/>
            <w:tabs>
              <w:tab w:val="right" w:leader="dot" w:pos="9350"/>
            </w:tabs>
            <w:rPr>
              <w:rFonts w:asciiTheme="minorHAnsi" w:eastAsiaTheme="minorEastAsia" w:hAnsiTheme="minorHAnsi" w:cstheme="minorBidi"/>
              <w:noProof/>
              <w:sz w:val="22"/>
              <w:szCs w:val="22"/>
            </w:rPr>
          </w:pPr>
          <w:hyperlink w:anchor="_Toc441673604" w:history="1">
            <w:r w:rsidR="00791A44" w:rsidRPr="00F31615">
              <w:rPr>
                <w:rStyle w:val="Hyperlink"/>
                <w:noProof/>
              </w:rPr>
              <w:t>V. CONSUMER GRIEVANCES</w:t>
            </w:r>
            <w:r w:rsidR="00791A44">
              <w:rPr>
                <w:noProof/>
                <w:webHidden/>
              </w:rPr>
              <w:tab/>
            </w:r>
            <w:r w:rsidR="00791A44">
              <w:rPr>
                <w:noProof/>
                <w:webHidden/>
              </w:rPr>
              <w:fldChar w:fldCharType="begin"/>
            </w:r>
            <w:r w:rsidR="00791A44">
              <w:rPr>
                <w:noProof/>
                <w:webHidden/>
              </w:rPr>
              <w:instrText xml:space="preserve"> PAGEREF _Toc441673604 \h </w:instrText>
            </w:r>
            <w:r w:rsidR="00791A44">
              <w:rPr>
                <w:noProof/>
                <w:webHidden/>
              </w:rPr>
            </w:r>
            <w:r w:rsidR="00791A44">
              <w:rPr>
                <w:noProof/>
                <w:webHidden/>
              </w:rPr>
              <w:fldChar w:fldCharType="separate"/>
            </w:r>
            <w:r>
              <w:rPr>
                <w:noProof/>
                <w:webHidden/>
              </w:rPr>
              <w:t>20</w:t>
            </w:r>
            <w:r w:rsidR="00791A44">
              <w:rPr>
                <w:noProof/>
                <w:webHidden/>
              </w:rPr>
              <w:fldChar w:fldCharType="end"/>
            </w:r>
          </w:hyperlink>
        </w:p>
        <w:p w14:paraId="5EB4C447" w14:textId="77777777" w:rsidR="00791A44" w:rsidRDefault="00EB2C97">
          <w:pPr>
            <w:pStyle w:val="TOC1"/>
            <w:tabs>
              <w:tab w:val="right" w:leader="dot" w:pos="9350"/>
            </w:tabs>
            <w:rPr>
              <w:rFonts w:asciiTheme="minorHAnsi" w:eastAsiaTheme="minorEastAsia" w:hAnsiTheme="minorHAnsi" w:cstheme="minorBidi"/>
              <w:noProof/>
              <w:sz w:val="22"/>
              <w:szCs w:val="22"/>
            </w:rPr>
          </w:pPr>
          <w:hyperlink w:anchor="_Toc441673605" w:history="1">
            <w:r w:rsidR="00791A44" w:rsidRPr="00F31615">
              <w:rPr>
                <w:rStyle w:val="Hyperlink"/>
                <w:noProof/>
              </w:rPr>
              <w:t>VI. COLLECTION OF ATTORNEYS FEES</w:t>
            </w:r>
            <w:r w:rsidR="00791A44">
              <w:rPr>
                <w:noProof/>
                <w:webHidden/>
              </w:rPr>
              <w:tab/>
            </w:r>
            <w:r w:rsidR="00791A44">
              <w:rPr>
                <w:noProof/>
                <w:webHidden/>
              </w:rPr>
              <w:fldChar w:fldCharType="begin"/>
            </w:r>
            <w:r w:rsidR="00791A44">
              <w:rPr>
                <w:noProof/>
                <w:webHidden/>
              </w:rPr>
              <w:instrText xml:space="preserve"> PAGEREF _Toc441673605 \h </w:instrText>
            </w:r>
            <w:r w:rsidR="00791A44">
              <w:rPr>
                <w:noProof/>
                <w:webHidden/>
              </w:rPr>
            </w:r>
            <w:r w:rsidR="00791A44">
              <w:rPr>
                <w:noProof/>
                <w:webHidden/>
              </w:rPr>
              <w:fldChar w:fldCharType="separate"/>
            </w:r>
            <w:r>
              <w:rPr>
                <w:noProof/>
                <w:webHidden/>
              </w:rPr>
              <w:t>20</w:t>
            </w:r>
            <w:r w:rsidR="00791A44">
              <w:rPr>
                <w:noProof/>
                <w:webHidden/>
              </w:rPr>
              <w:fldChar w:fldCharType="end"/>
            </w:r>
          </w:hyperlink>
        </w:p>
        <w:p w14:paraId="57DAB59A" w14:textId="77777777" w:rsidR="00791A44" w:rsidRDefault="00EB2C97">
          <w:pPr>
            <w:pStyle w:val="TOC1"/>
            <w:tabs>
              <w:tab w:val="right" w:leader="dot" w:pos="9350"/>
            </w:tabs>
            <w:rPr>
              <w:rFonts w:asciiTheme="minorHAnsi" w:eastAsiaTheme="minorEastAsia" w:hAnsiTheme="minorHAnsi" w:cstheme="minorBidi"/>
              <w:noProof/>
              <w:sz w:val="22"/>
              <w:szCs w:val="22"/>
            </w:rPr>
          </w:pPr>
          <w:hyperlink w:anchor="_Toc441673606" w:history="1">
            <w:r w:rsidR="00791A44" w:rsidRPr="00F31615">
              <w:rPr>
                <w:rStyle w:val="Hyperlink"/>
                <w:noProof/>
              </w:rPr>
              <w:t>VIII. CONCLUSION</w:t>
            </w:r>
            <w:r w:rsidR="00791A44">
              <w:rPr>
                <w:noProof/>
                <w:webHidden/>
              </w:rPr>
              <w:tab/>
            </w:r>
            <w:r w:rsidR="00791A44">
              <w:rPr>
                <w:noProof/>
                <w:webHidden/>
              </w:rPr>
              <w:fldChar w:fldCharType="begin"/>
            </w:r>
            <w:r w:rsidR="00791A44">
              <w:rPr>
                <w:noProof/>
                <w:webHidden/>
              </w:rPr>
              <w:instrText xml:space="preserve"> PAGEREF _Toc441673606 \h </w:instrText>
            </w:r>
            <w:r w:rsidR="00791A44">
              <w:rPr>
                <w:noProof/>
                <w:webHidden/>
              </w:rPr>
            </w:r>
            <w:r w:rsidR="00791A44">
              <w:rPr>
                <w:noProof/>
                <w:webHidden/>
              </w:rPr>
              <w:fldChar w:fldCharType="separate"/>
            </w:r>
            <w:r>
              <w:rPr>
                <w:noProof/>
                <w:webHidden/>
              </w:rPr>
              <w:t>21</w:t>
            </w:r>
            <w:r w:rsidR="00791A44">
              <w:rPr>
                <w:noProof/>
                <w:webHidden/>
              </w:rPr>
              <w:fldChar w:fldCharType="end"/>
            </w:r>
          </w:hyperlink>
        </w:p>
        <w:p w14:paraId="6AF074AA" w14:textId="77777777" w:rsidR="00C80132" w:rsidRDefault="00C80132">
          <w:r>
            <w:rPr>
              <w:b/>
              <w:bCs/>
              <w:noProof/>
            </w:rPr>
            <w:fldChar w:fldCharType="end"/>
          </w:r>
        </w:p>
      </w:sdtContent>
    </w:sdt>
    <w:p w14:paraId="25B88BC1" w14:textId="77777777" w:rsidR="00497E12" w:rsidRDefault="00497E12" w:rsidP="00497E12">
      <w:pPr>
        <w:jc w:val="center"/>
        <w:rPr>
          <w:u w:val="single"/>
        </w:rPr>
      </w:pPr>
      <w:r>
        <w:rPr>
          <w:u w:val="single"/>
        </w:rPr>
        <w:t>EXHIBIT LIST</w:t>
      </w:r>
    </w:p>
    <w:p w14:paraId="33D63777" w14:textId="77777777" w:rsidR="00497E12" w:rsidRDefault="00497E12" w:rsidP="00C80132"/>
    <w:p w14:paraId="3C1AAD97" w14:textId="77777777" w:rsidR="00497E12" w:rsidRDefault="00497E12" w:rsidP="00C80132">
      <w:r>
        <w:t>EXHIBIT A</w:t>
      </w:r>
      <w:r>
        <w:tab/>
        <w:t>OCRA Staff Roster</w:t>
      </w:r>
    </w:p>
    <w:p w14:paraId="66826021" w14:textId="77777777" w:rsidR="00497E12" w:rsidRDefault="00497E12" w:rsidP="00C80132">
      <w:r>
        <w:t>EXHIBIT B</w:t>
      </w:r>
      <w:r>
        <w:tab/>
        <w:t>OCRA Statistics</w:t>
      </w:r>
    </w:p>
    <w:p w14:paraId="32AECFDE" w14:textId="77777777" w:rsidR="00497E12" w:rsidRDefault="00497E12" w:rsidP="00C80132">
      <w:r>
        <w:t>EXHIBIT C</w:t>
      </w:r>
      <w:r>
        <w:tab/>
        <w:t xml:space="preserve">Advocacy Report </w:t>
      </w:r>
    </w:p>
    <w:p w14:paraId="7769577B" w14:textId="77777777" w:rsidR="00497E12" w:rsidRDefault="00497E12" w:rsidP="00C80132">
      <w:r>
        <w:t>EXHIBIT D</w:t>
      </w:r>
      <w:r>
        <w:tab/>
        <w:t>Outreach and Training Report</w:t>
      </w:r>
    </w:p>
    <w:p w14:paraId="1F4DEFBD" w14:textId="77777777" w:rsidR="00497E12" w:rsidRDefault="00497E12" w:rsidP="00C80132">
      <w:r>
        <w:t>EXHIBIT E</w:t>
      </w:r>
      <w:r>
        <w:tab/>
        <w:t>Report by Service Level</w:t>
      </w:r>
    </w:p>
    <w:p w14:paraId="0BF2E86D" w14:textId="77777777" w:rsidR="00497E12" w:rsidRDefault="00497E12" w:rsidP="00C80132">
      <w:r>
        <w:t>EXHIBIT F</w:t>
      </w:r>
      <w:r>
        <w:tab/>
        <w:t>Memorandums of Understanding</w:t>
      </w:r>
    </w:p>
    <w:p w14:paraId="00CB4B02" w14:textId="77777777" w:rsidR="00497E12" w:rsidRDefault="00497E12" w:rsidP="00C80132">
      <w:r>
        <w:t>EXHIBIT G</w:t>
      </w:r>
      <w:r>
        <w:tab/>
        <w:t>Consumer Satisfaction Surveys</w:t>
      </w:r>
    </w:p>
    <w:p w14:paraId="1209420D" w14:textId="77777777" w:rsidR="00497E12" w:rsidRDefault="00497E12" w:rsidP="00C80132">
      <w:r>
        <w:t>EXHIBIT H</w:t>
      </w:r>
      <w:r>
        <w:tab/>
        <w:t>OCRA Advisory Committee and Meeting Minutes</w:t>
      </w:r>
    </w:p>
    <w:p w14:paraId="0837BAA7" w14:textId="77777777" w:rsidR="00497E12" w:rsidRDefault="00497E12" w:rsidP="00C80132">
      <w:r>
        <w:t>EXHIBIT I</w:t>
      </w:r>
      <w:r>
        <w:tab/>
        <w:t>Self-Advocacy Trainings</w:t>
      </w:r>
    </w:p>
    <w:p w14:paraId="5D00540C" w14:textId="77777777" w:rsidR="00497E12" w:rsidRDefault="00497E12" w:rsidP="00C80132">
      <w:r>
        <w:t>EXHIBIT J</w:t>
      </w:r>
      <w:r>
        <w:tab/>
        <w:t>Title 17 Complaints</w:t>
      </w:r>
    </w:p>
    <w:p w14:paraId="70A53B77" w14:textId="77777777" w:rsidR="00497E12" w:rsidRDefault="00497E12" w:rsidP="00C80132">
      <w:r>
        <w:t>EXHIBIT K</w:t>
      </w:r>
      <w:r>
        <w:tab/>
        <w:t>Denial of Rights</w:t>
      </w:r>
    </w:p>
    <w:p w14:paraId="0DE74A5B" w14:textId="77777777" w:rsidR="00497E12" w:rsidRDefault="00497E12" w:rsidP="00C80132">
      <w:r>
        <w:t>EXHIBIT L</w:t>
      </w:r>
      <w:r>
        <w:tab/>
        <w:t>Consumer Grievance Report</w:t>
      </w:r>
    </w:p>
    <w:p w14:paraId="7D1C3DED" w14:textId="77777777" w:rsidR="00497E12" w:rsidRDefault="00497E12" w:rsidP="00C80132">
      <w:r>
        <w:t>EXHIBIT M</w:t>
      </w:r>
      <w:r>
        <w:tab/>
      </w:r>
      <w:proofErr w:type="spellStart"/>
      <w:r>
        <w:t>Attorneys</w:t>
      </w:r>
      <w:proofErr w:type="spellEnd"/>
      <w:r>
        <w:t xml:space="preserve"> Fees</w:t>
      </w:r>
    </w:p>
    <w:p w14:paraId="3F80A821" w14:textId="77777777" w:rsidR="00497E12" w:rsidRDefault="00497E12" w:rsidP="00C80132"/>
    <w:p w14:paraId="45BEDDB8" w14:textId="77777777" w:rsidR="00497E12" w:rsidRDefault="00497E12" w:rsidP="00C80132"/>
    <w:p w14:paraId="464CAC9E" w14:textId="77777777" w:rsidR="00497E12" w:rsidRDefault="00497E12" w:rsidP="00C80132"/>
    <w:p w14:paraId="0686FBE6" w14:textId="77777777" w:rsidR="00497E12" w:rsidRDefault="00497E12" w:rsidP="00C80132"/>
    <w:p w14:paraId="037A5983" w14:textId="77777777" w:rsidR="00497E12" w:rsidRPr="00497E12" w:rsidRDefault="00497E12" w:rsidP="00C80132"/>
    <w:p w14:paraId="287CE99A" w14:textId="77777777" w:rsidR="004E49B6" w:rsidRDefault="004E49B6" w:rsidP="00C11885">
      <w:pPr>
        <w:pStyle w:val="Heading1"/>
      </w:pPr>
      <w:bookmarkStart w:id="2" w:name="_Toc441673585"/>
    </w:p>
    <w:p w14:paraId="35683FEC" w14:textId="77777777" w:rsidR="002E2352" w:rsidRPr="002E2352" w:rsidRDefault="002E2352" w:rsidP="00C11885">
      <w:pPr>
        <w:pStyle w:val="Heading1"/>
      </w:pPr>
      <w:r>
        <w:t>I.</w:t>
      </w:r>
      <w:r>
        <w:tab/>
      </w:r>
      <w:r w:rsidRPr="002E2352">
        <w:t>INTRODUCTION</w:t>
      </w:r>
      <w:bookmarkEnd w:id="0"/>
      <w:bookmarkEnd w:id="2"/>
    </w:p>
    <w:p w14:paraId="7B690C55" w14:textId="77777777" w:rsidR="002E2352" w:rsidRPr="002E2352" w:rsidRDefault="002E2352" w:rsidP="00C355FA">
      <w:r w:rsidRPr="002E2352">
        <w:t>Disability Rights California provides state-wide clients’ rights advocacy services for regional center consumers pursuant to a multi-year contract, HD119002, with the Department of Developmental Services (DDS) through the Office of Clients’ Rights Advocacy (OCRA).</w:t>
      </w:r>
      <w:r w:rsidR="006574EE">
        <w:t xml:space="preserve"> </w:t>
      </w:r>
      <w:r w:rsidRPr="002E2352">
        <w:t xml:space="preserve"> The contract was renewed effective July 1, 2011, for a 5-year period ending June 30, 2016. </w:t>
      </w:r>
      <w:r w:rsidR="006574EE">
        <w:t xml:space="preserve"> </w:t>
      </w:r>
      <w:r w:rsidR="0005630A">
        <w:t>OCRA is currently in the fifth year of a five year contract.  This semi-annual report covers July 1, 2015, through December 31, 2015.</w:t>
      </w:r>
      <w:r w:rsidRPr="002E2352">
        <w:t xml:space="preserve"> </w:t>
      </w:r>
    </w:p>
    <w:p w14:paraId="080B23A6" w14:textId="77777777" w:rsidR="002E2352" w:rsidRPr="002E2352" w:rsidRDefault="007A2DFB" w:rsidP="00C355FA">
      <w:r w:rsidRPr="007A2DFB">
        <w:t xml:space="preserve">Between July 1, 2015 and December 31, 2015 OCRA resolved 5,120 issues for 3,611 consumers, which continues to be well over the </w:t>
      </w:r>
      <w:r>
        <w:t>30</w:t>
      </w:r>
      <w:r w:rsidRPr="007A2DFB">
        <w:t xml:space="preserve"> per</w:t>
      </w:r>
      <w:r>
        <w:t xml:space="preserve"> month, per</w:t>
      </w:r>
      <w:r w:rsidRPr="007A2DFB">
        <w:t xml:space="preserve"> office required by contract.  </w:t>
      </w:r>
      <w:r w:rsidR="006574EE" w:rsidRPr="006574EE">
        <w:t xml:space="preserve">OCRA </w:t>
      </w:r>
      <w:r w:rsidR="006574EE">
        <w:t xml:space="preserve">staff continue to </w:t>
      </w:r>
      <w:r>
        <w:t xml:space="preserve">handle </w:t>
      </w:r>
      <w:r w:rsidR="006574EE">
        <w:t>a variety of</w:t>
      </w:r>
      <w:r w:rsidR="006574EE" w:rsidRPr="006574EE">
        <w:t xml:space="preserve"> legal issues </w:t>
      </w:r>
      <w:r>
        <w:t>with positive results</w:t>
      </w:r>
      <w:r w:rsidR="006574EE" w:rsidRPr="006574EE">
        <w:t xml:space="preserve">.  </w:t>
      </w:r>
      <w:r w:rsidR="006574EE">
        <w:t xml:space="preserve">OCRA also participated in </w:t>
      </w:r>
      <w:r w:rsidR="0005630A">
        <w:t>178</w:t>
      </w:r>
      <w:r w:rsidR="002E2352" w:rsidRPr="002E2352">
        <w:t xml:space="preserve"> trainings </w:t>
      </w:r>
      <w:r w:rsidR="0005630A">
        <w:t>during the 6-month period</w:t>
      </w:r>
      <w:r w:rsidR="002E2352" w:rsidRPr="002E2352">
        <w:t>, pr</w:t>
      </w:r>
      <w:r w:rsidR="006574EE">
        <w:t xml:space="preserve">esenting to approximately </w:t>
      </w:r>
      <w:r w:rsidR="0005630A">
        <w:t>6,840</w:t>
      </w:r>
      <w:r w:rsidR="002E2352" w:rsidRPr="002E2352">
        <w:t xml:space="preserve"> people.</w:t>
      </w:r>
      <w:r w:rsidR="00127ACE">
        <w:t xml:space="preserve">  This number is slightly lower than </w:t>
      </w:r>
      <w:r w:rsidR="0005630A">
        <w:t xml:space="preserve">our semi-annual report from </w:t>
      </w:r>
      <w:r w:rsidR="00127ACE">
        <w:t>last year because</w:t>
      </w:r>
      <w:r w:rsidR="0005630A">
        <w:t>, as reported in our annual reports,</w:t>
      </w:r>
      <w:r w:rsidR="00127ACE">
        <w:t xml:space="preserve"> we </w:t>
      </w:r>
      <w:r w:rsidR="0005630A">
        <w:t>are</w:t>
      </w:r>
      <w:r w:rsidR="00127ACE">
        <w:t xml:space="preserve"> counting trainings and attendee numbers differently</w:t>
      </w:r>
      <w:r w:rsidR="0005630A">
        <w:t xml:space="preserve"> than in the past</w:t>
      </w:r>
      <w:r w:rsidR="00127ACE">
        <w:t>.  See section II.A.4 for details.</w:t>
      </w:r>
      <w:r w:rsidR="002E2352" w:rsidRPr="002E2352">
        <w:t xml:space="preserve"> </w:t>
      </w:r>
    </w:p>
    <w:p w14:paraId="2E635A11" w14:textId="77777777" w:rsidR="002E2352" w:rsidRPr="002E2352" w:rsidRDefault="00B85119" w:rsidP="00C355FA">
      <w:r>
        <w:t xml:space="preserve">OCRA continues </w:t>
      </w:r>
      <w:r w:rsidR="008B1BFB">
        <w:t xml:space="preserve">to </w:t>
      </w:r>
      <w:r w:rsidR="007A2DFB">
        <w:t xml:space="preserve">employ </w:t>
      </w:r>
      <w:r>
        <w:t>two ful</w:t>
      </w:r>
      <w:r w:rsidR="007A2DFB">
        <w:t xml:space="preserve">l-time CRAs who directly handle </w:t>
      </w:r>
      <w:r>
        <w:t xml:space="preserve">or </w:t>
      </w:r>
      <w:r w:rsidR="007A2DFB">
        <w:t>provide technical assistance to staff with the important, time-intensive cases that help consumers move from restrictive settings into the community</w:t>
      </w:r>
      <w:r>
        <w:t>.</w:t>
      </w:r>
      <w:r w:rsidR="007A2DFB">
        <w:t xml:space="preserve">  In addition to these two “community integration CRAs,” other OCRA staff have represented consumers directly in these cases, navigating all the challenges and </w:t>
      </w:r>
      <w:r w:rsidR="004E0866">
        <w:t>then participating</w:t>
      </w:r>
      <w:r w:rsidR="007A2DFB">
        <w:t xml:space="preserve"> </w:t>
      </w:r>
      <w:r w:rsidR="00865311">
        <w:t xml:space="preserve">in </w:t>
      </w:r>
      <w:r w:rsidR="007A2DFB">
        <w:t>all the successes.</w:t>
      </w:r>
      <w:r>
        <w:t xml:space="preserve"> </w:t>
      </w:r>
    </w:p>
    <w:p w14:paraId="348311F2" w14:textId="77777777" w:rsidR="006F0AE5" w:rsidRPr="00C355FA" w:rsidRDefault="002E2352" w:rsidP="006F0AE5">
      <w:pPr>
        <w:spacing w:after="0" w:line="240" w:lineRule="auto"/>
      </w:pPr>
      <w:r w:rsidRPr="00C355FA">
        <w:t xml:space="preserve">In addition to the emphasis on community living, OCRA has continued to </w:t>
      </w:r>
      <w:r w:rsidR="00865311">
        <w:t xml:space="preserve">work to best serve consumers from traditionally underserved communities.  </w:t>
      </w:r>
      <w:r w:rsidRPr="00C355FA">
        <w:t>We do so through a combination of outreach, education, and direct advocacy.</w:t>
      </w:r>
      <w:r w:rsidR="00865311">
        <w:t xml:space="preserve">  </w:t>
      </w:r>
      <w:r w:rsidR="004E0866">
        <w:t xml:space="preserve">For example, </w:t>
      </w:r>
      <w:r w:rsidR="007A2DFB">
        <w:t xml:space="preserve">OCRA’s </w:t>
      </w:r>
      <w:r w:rsidR="006F0AE5" w:rsidRPr="00C355FA">
        <w:t>outreach coordinator for the Asian community</w:t>
      </w:r>
      <w:r w:rsidR="007A2DFB">
        <w:t xml:space="preserve"> has been assisting individual OCRA offices to identify new ways to reach out to the Asian and Pacific Islander (API) communities in their catchment areas, including OCRA involvement in a statewide API conference for consumers with disabilities and their family members</w:t>
      </w:r>
      <w:r w:rsidR="006F0AE5" w:rsidRPr="00C355FA">
        <w:t xml:space="preserve">.  </w:t>
      </w:r>
      <w:r w:rsidR="007A2DFB">
        <w:t xml:space="preserve">Other offices have looked at OCRA data and have chosen different groups to target. </w:t>
      </w:r>
      <w:r w:rsidR="004E0866">
        <w:t xml:space="preserve"> </w:t>
      </w:r>
      <w:r w:rsidR="00865311" w:rsidRPr="00865311">
        <w:t>Some OCRA staff are serving on disparity or diversity committees and have worked with their regional centers to identify ways to better serve those from underserved communities.</w:t>
      </w:r>
    </w:p>
    <w:p w14:paraId="23544D9A" w14:textId="77777777" w:rsidR="002E2352" w:rsidRPr="002E2352" w:rsidRDefault="002E2352" w:rsidP="002E2352">
      <w:pPr>
        <w:spacing w:after="0" w:line="240" w:lineRule="auto"/>
      </w:pPr>
    </w:p>
    <w:p w14:paraId="7431DADE" w14:textId="77777777" w:rsidR="002E2352" w:rsidRPr="002E2352" w:rsidRDefault="00BA1BB3" w:rsidP="00C355FA">
      <w:r>
        <w:t>OCRA staff also serve</w:t>
      </w:r>
      <w:r w:rsidR="00B85119">
        <w:t xml:space="preserve"> on </w:t>
      </w:r>
      <w:r w:rsidR="005E77A0" w:rsidRPr="005E77A0">
        <w:t>their regional cent</w:t>
      </w:r>
      <w:r w:rsidR="005A387E">
        <w:t>ers’ Self-Determination Program Local Advisory Commi</w:t>
      </w:r>
      <w:r w:rsidR="005E77A0" w:rsidRPr="005E77A0">
        <w:t xml:space="preserve">ttees </w:t>
      </w:r>
      <w:r>
        <w:t>as required by Welfare &amp; Institutions Code Section 4685.8(x</w:t>
      </w:r>
      <w:proofErr w:type="gramStart"/>
      <w:r>
        <w:t>)(</w:t>
      </w:r>
      <w:proofErr w:type="gramEnd"/>
      <w:r>
        <w:t>1) and attend</w:t>
      </w:r>
      <w:r w:rsidR="005A387E">
        <w:t xml:space="preserve"> regular</w:t>
      </w:r>
      <w:r w:rsidR="00B85119">
        <w:t xml:space="preserve"> meetings.  Some OCRA staff have </w:t>
      </w:r>
      <w:r w:rsidR="006F0AE5">
        <w:t>partnered with regional centers to provide</w:t>
      </w:r>
      <w:r w:rsidR="00B85119">
        <w:t xml:space="preserve"> trainings to help interested parties better understand this new service delivery method.</w:t>
      </w:r>
      <w:r w:rsidR="005E77A0">
        <w:t xml:space="preserve">  OCRA </w:t>
      </w:r>
      <w:r w:rsidR="004D7C9C">
        <w:t xml:space="preserve">will be participating for the second year in a two-day </w:t>
      </w:r>
      <w:r w:rsidR="005E77A0">
        <w:t>Self-D</w:t>
      </w:r>
      <w:r w:rsidR="006F0AE5">
        <w:t xml:space="preserve">etermination </w:t>
      </w:r>
      <w:r w:rsidR="005A387E">
        <w:t>Program</w:t>
      </w:r>
      <w:r w:rsidR="005E77A0">
        <w:t xml:space="preserve"> </w:t>
      </w:r>
      <w:r w:rsidR="006F0AE5">
        <w:t xml:space="preserve">conference </w:t>
      </w:r>
      <w:r w:rsidR="00AF2723">
        <w:t>in southern California and will continue to work with DDS</w:t>
      </w:r>
      <w:r w:rsidR="005A387E">
        <w:t>, the State Council on Developmental Disabilities</w:t>
      </w:r>
      <w:r w:rsidR="00AF2723">
        <w:t xml:space="preserve"> and regional centers on this program.</w:t>
      </w:r>
    </w:p>
    <w:p w14:paraId="37A67341" w14:textId="77777777" w:rsidR="002E2352" w:rsidRPr="002E2352" w:rsidRDefault="00BA1BB3" w:rsidP="00C355FA">
      <w:r>
        <w:t xml:space="preserve">OCRA currently operates </w:t>
      </w:r>
      <w:r w:rsidR="002E2352" w:rsidRPr="002E2352">
        <w:t xml:space="preserve">offices throughout the state, most of which are staffed by one CRA and one Assistant CRA. </w:t>
      </w:r>
      <w:r w:rsidR="006F0AE5">
        <w:t xml:space="preserve"> </w:t>
      </w:r>
      <w:r w:rsidR="002E2352" w:rsidRPr="002E2352">
        <w:t xml:space="preserve">This enables our staff to be accessible and best understand the local community. </w:t>
      </w:r>
      <w:r w:rsidR="006F0AE5">
        <w:t xml:space="preserve"> </w:t>
      </w:r>
      <w:r w:rsidR="006800F2">
        <w:t xml:space="preserve">OCRA </w:t>
      </w:r>
      <w:r w:rsidR="004D7C9C">
        <w:t>recently</w:t>
      </w:r>
      <w:r w:rsidR="006800F2">
        <w:t xml:space="preserve"> close</w:t>
      </w:r>
      <w:r w:rsidR="004D7C9C">
        <w:t>d</w:t>
      </w:r>
      <w:r w:rsidR="006800F2">
        <w:t xml:space="preserve"> the Ukiah office which serves consumers of Redwood Coast Regional Center </w:t>
      </w:r>
      <w:r w:rsidR="005A387E">
        <w:t>(RCRC)</w:t>
      </w:r>
      <w:r w:rsidR="004D7C9C">
        <w:t>, so we</w:t>
      </w:r>
      <w:r w:rsidR="005A387E">
        <w:t xml:space="preserve"> </w:t>
      </w:r>
      <w:r w:rsidR="004D7C9C">
        <w:t>now have</w:t>
      </w:r>
      <w:r w:rsidR="006800F2">
        <w:t xml:space="preserve"> one office in Eureka to serve consumers in all four RCRC counties.  </w:t>
      </w:r>
      <w:r w:rsidR="000B5A36">
        <w:t>W</w:t>
      </w:r>
      <w:r w:rsidR="006800F2">
        <w:t xml:space="preserve">e </w:t>
      </w:r>
      <w:r w:rsidR="004D7C9C">
        <w:t xml:space="preserve">hired </w:t>
      </w:r>
      <w:r w:rsidR="006800F2">
        <w:t>a second CRA in the Eureka office</w:t>
      </w:r>
      <w:r w:rsidR="004D7C9C">
        <w:t>, who sta</w:t>
      </w:r>
      <w:r w:rsidR="008B1BFB">
        <w:t>r</w:t>
      </w:r>
      <w:r w:rsidR="004D7C9C">
        <w:t xml:space="preserve">ted in </w:t>
      </w:r>
      <w:r w:rsidR="000B5A36">
        <w:t>September</w:t>
      </w:r>
      <w:r w:rsidR="004D7C9C">
        <w:t xml:space="preserve"> 2015</w:t>
      </w:r>
      <w:r w:rsidR="006800F2">
        <w:t xml:space="preserve">.  </w:t>
      </w:r>
      <w:r w:rsidR="004D7C9C">
        <w:t>Staff in that OCRA office have already provided outreach and trainings to regional center staff and the Native American community in Klamath.</w:t>
      </w:r>
      <w:r w:rsidR="00C355FA">
        <w:t xml:space="preserve">  </w:t>
      </w:r>
      <w:r w:rsidR="006800F2">
        <w:t>We also hired a new CRA for Alta California Regional Center consumers</w:t>
      </w:r>
      <w:r w:rsidR="004D7C9C">
        <w:t xml:space="preserve"> who started in August 2015</w:t>
      </w:r>
      <w:r w:rsidR="006800F2">
        <w:t>.</w:t>
      </w:r>
      <w:r w:rsidR="004400AA">
        <w:t xml:space="preserve">  The former CRA for Westside Regional Center transferred to our Inland Regional Center office during this review period, so we have a new CRA for WRC as well.</w:t>
      </w:r>
      <w:r w:rsidR="006800F2">
        <w:t xml:space="preserve">  </w:t>
      </w:r>
      <w:r w:rsidR="002E2352" w:rsidRPr="002E2352">
        <w:t xml:space="preserve">We also </w:t>
      </w:r>
      <w:r w:rsidR="006F0AE5">
        <w:t xml:space="preserve">plan to hire </w:t>
      </w:r>
      <w:r w:rsidR="00C622FA">
        <w:t>a second Peer Advocate</w:t>
      </w:r>
      <w:r w:rsidR="00865311">
        <w:t xml:space="preserve"> in N</w:t>
      </w:r>
      <w:r w:rsidR="006F0AE5">
        <w:t>orthern California</w:t>
      </w:r>
      <w:r w:rsidR="00C622FA">
        <w:t xml:space="preserve"> to compl</w:t>
      </w:r>
      <w:r w:rsidR="008B1BFB">
        <w:t>i</w:t>
      </w:r>
      <w:r w:rsidR="00C622FA">
        <w:t xml:space="preserve">ment the work </w:t>
      </w:r>
      <w:r w:rsidR="004400AA">
        <w:t>of</w:t>
      </w:r>
      <w:r w:rsidR="00C622FA">
        <w:t xml:space="preserve"> our Peer Advocate in </w:t>
      </w:r>
      <w:r w:rsidR="00865311">
        <w:t>S</w:t>
      </w:r>
      <w:r w:rsidR="00C622FA">
        <w:t>outhern California</w:t>
      </w:r>
      <w:r w:rsidR="002E2352" w:rsidRPr="002E2352">
        <w:t>.</w:t>
      </w:r>
      <w:r w:rsidR="00C355FA">
        <w:t xml:space="preserve">  </w:t>
      </w:r>
      <w:r w:rsidR="002E2352" w:rsidRPr="002E2352">
        <w:t xml:space="preserve">A list of the current staff and office locations is attached as Exhibit A. </w:t>
      </w:r>
    </w:p>
    <w:p w14:paraId="07A06127" w14:textId="77777777" w:rsidR="002E2352" w:rsidRPr="002E2352" w:rsidRDefault="002E2352" w:rsidP="00C11885">
      <w:pPr>
        <w:pStyle w:val="Heading1"/>
      </w:pPr>
      <w:bookmarkStart w:id="3" w:name="_Toc428549009"/>
      <w:bookmarkStart w:id="4" w:name="_Toc441673586"/>
      <w:r>
        <w:t>II.</w:t>
      </w:r>
      <w:r>
        <w:tab/>
      </w:r>
      <w:r w:rsidRPr="002E2352">
        <w:t>PERFORMANCE OBJECTIVES</w:t>
      </w:r>
      <w:bookmarkEnd w:id="3"/>
      <w:bookmarkEnd w:id="4"/>
      <w:r w:rsidRPr="002E2352">
        <w:t xml:space="preserve"> </w:t>
      </w:r>
    </w:p>
    <w:p w14:paraId="2EBBD528" w14:textId="77777777" w:rsidR="002E2352" w:rsidRPr="002E2352" w:rsidRDefault="002E2352" w:rsidP="00C355FA">
      <w:r w:rsidRPr="002E2352">
        <w:t>Disability Rights California’s contract with DDS requires performance objectives as established in Exhibit A, Page 14, Paragraph M, of the contract.</w:t>
      </w:r>
      <w:r w:rsidR="006F0AE5">
        <w:t xml:space="preserve"> </w:t>
      </w:r>
      <w:r w:rsidRPr="002E2352">
        <w:t xml:space="preserve"> Each of the specific required outcomes is discussed in the following Sections A through F. </w:t>
      </w:r>
      <w:r w:rsidR="006F0AE5">
        <w:t xml:space="preserve"> </w:t>
      </w:r>
      <w:r w:rsidRPr="002E2352">
        <w:t xml:space="preserve">The contract does not set specific numbers for </w:t>
      </w:r>
      <w:r w:rsidR="00847D8F">
        <w:t xml:space="preserve">the </w:t>
      </w:r>
      <w:r w:rsidRPr="002E2352">
        <w:t xml:space="preserve">performance outcomes. </w:t>
      </w:r>
    </w:p>
    <w:p w14:paraId="76ED3E03" w14:textId="77777777" w:rsidR="002E2352" w:rsidRPr="002E2352" w:rsidRDefault="002E2352" w:rsidP="00547681">
      <w:pPr>
        <w:pStyle w:val="Heading2"/>
        <w:numPr>
          <w:ilvl w:val="0"/>
          <w:numId w:val="2"/>
        </w:numPr>
      </w:pPr>
      <w:bookmarkStart w:id="5" w:name="_Toc428549010"/>
      <w:bookmarkStart w:id="6" w:name="_Toc441673587"/>
      <w:r w:rsidRPr="002E2352">
        <w:lastRenderedPageBreak/>
        <w:t xml:space="preserve">Services are provided in a </w:t>
      </w:r>
      <w:r w:rsidR="00D57E48">
        <w:t xml:space="preserve">manner that maximizes staff and </w:t>
      </w:r>
      <w:r w:rsidRPr="002E2352">
        <w:t>operational resources.</w:t>
      </w:r>
      <w:bookmarkEnd w:id="5"/>
      <w:bookmarkEnd w:id="6"/>
      <w:r w:rsidRPr="002E2352">
        <w:t xml:space="preserve"> </w:t>
      </w:r>
    </w:p>
    <w:p w14:paraId="0670FB2B" w14:textId="77777777" w:rsidR="002E2352" w:rsidRPr="002E2352" w:rsidRDefault="002E2352" w:rsidP="00C355FA">
      <w:r w:rsidRPr="002E2352">
        <w:t xml:space="preserve">OCRA continues its tradition of serving a large number of people with developmental disabilities. </w:t>
      </w:r>
      <w:r w:rsidR="006F0AE5">
        <w:t xml:space="preserve"> OCRA handled </w:t>
      </w:r>
      <w:r w:rsidR="00253AA7">
        <w:t>5,120</w:t>
      </w:r>
      <w:r w:rsidR="006F0AE5">
        <w:t xml:space="preserve"> </w:t>
      </w:r>
      <w:r w:rsidRPr="002E2352">
        <w:t xml:space="preserve">issues for regional </w:t>
      </w:r>
      <w:r w:rsidR="00253AA7">
        <w:t>center consumers during this 6-month period</w:t>
      </w:r>
      <w:r w:rsidRPr="002E2352">
        <w:t xml:space="preserve">. </w:t>
      </w:r>
      <w:r w:rsidR="006F0AE5">
        <w:t xml:space="preserve"> </w:t>
      </w:r>
      <w:r w:rsidRPr="002E2352">
        <w:t xml:space="preserve">OCRA successfully represented and educated people </w:t>
      </w:r>
      <w:r w:rsidR="00AF2723">
        <w:t>on many different legal issues and</w:t>
      </w:r>
      <w:r w:rsidRPr="002E2352">
        <w:t xml:space="preserve"> helped to remedy systemic problems. </w:t>
      </w:r>
      <w:r w:rsidR="00AF2723">
        <w:t xml:space="preserve"> </w:t>
      </w:r>
      <w:r w:rsidRPr="002E2352">
        <w:t>The st</w:t>
      </w:r>
      <w:r w:rsidR="00AF2723">
        <w:t>atistics, attached as Exhibit B</w:t>
      </w:r>
      <w:r w:rsidRPr="002E2352">
        <w:t xml:space="preserve"> and discussed below</w:t>
      </w:r>
      <w:r w:rsidR="00AF2723">
        <w:t>,</w:t>
      </w:r>
      <w:r w:rsidRPr="002E2352">
        <w:t xml:space="preserve"> show the wide variety of issues and the large number of cases handled by</w:t>
      </w:r>
      <w:r w:rsidR="00AF2723">
        <w:t xml:space="preserve"> OCRA staff.  T</w:t>
      </w:r>
      <w:r w:rsidRPr="002E2352">
        <w:t>he a</w:t>
      </w:r>
      <w:r w:rsidR="00253AA7">
        <w:t>dvocacy report, covering July</w:t>
      </w:r>
      <w:r w:rsidRPr="002E2352">
        <w:t xml:space="preserve"> through </w:t>
      </w:r>
      <w:r w:rsidR="00253AA7">
        <w:t>December</w:t>
      </w:r>
      <w:r w:rsidR="00AF2723">
        <w:t>, 2015</w:t>
      </w:r>
      <w:r>
        <w:t xml:space="preserve">, included as Exhibit </w:t>
      </w:r>
      <w:r w:rsidR="00847D8F">
        <w:t>C, tells the stories and the impact our work has had on consumers’ lives.</w:t>
      </w:r>
    </w:p>
    <w:p w14:paraId="376060B0" w14:textId="77777777" w:rsidR="002E2352" w:rsidRPr="002E2352" w:rsidRDefault="002E2352" w:rsidP="00FA3FB1">
      <w:pPr>
        <w:pStyle w:val="Heading3"/>
      </w:pPr>
      <w:bookmarkStart w:id="7" w:name="_Toc428549011"/>
      <w:bookmarkStart w:id="8" w:name="_Toc441673588"/>
      <w:r w:rsidRPr="002E2352">
        <w:t>1) Advocacy Reports.</w:t>
      </w:r>
      <w:bookmarkEnd w:id="7"/>
      <w:bookmarkEnd w:id="8"/>
      <w:r w:rsidRPr="002E2352">
        <w:t xml:space="preserve"> </w:t>
      </w:r>
    </w:p>
    <w:p w14:paraId="0769FF08" w14:textId="77777777" w:rsidR="002E2352" w:rsidRPr="002E2352" w:rsidRDefault="00AF2723" w:rsidP="00C355FA">
      <w:r>
        <w:t xml:space="preserve">OCRA’s </w:t>
      </w:r>
      <w:r w:rsidR="002E2352" w:rsidRPr="002E2352">
        <w:t xml:space="preserve">wonderful service to the community and the impact of that work is best demonstrated in the </w:t>
      </w:r>
      <w:r w:rsidR="00253AA7">
        <w:t>stories of direct advocacy</w:t>
      </w:r>
      <w:r w:rsidR="002E2352" w:rsidRPr="002E2352">
        <w:t xml:space="preserve">. </w:t>
      </w:r>
      <w:r>
        <w:t xml:space="preserve"> </w:t>
      </w:r>
      <w:r w:rsidR="00253AA7">
        <w:t>Advocates</w:t>
      </w:r>
      <w:r>
        <w:t xml:space="preserve"> regularly submit summaries</w:t>
      </w:r>
      <w:r w:rsidR="002E2352" w:rsidRPr="002E2352">
        <w:t xml:space="preserve"> of case</w:t>
      </w:r>
      <w:r>
        <w:t>s</w:t>
      </w:r>
      <w:r w:rsidR="002E2352" w:rsidRPr="002E2352">
        <w:t xml:space="preserve"> or outreach</w:t>
      </w:r>
      <w:r>
        <w:t>es that have</w:t>
      </w:r>
      <w:r w:rsidR="002E2352" w:rsidRPr="002E2352">
        <w:t xml:space="preserve"> </w:t>
      </w:r>
      <w:r>
        <w:t>practical value and demonstrate</w:t>
      </w:r>
      <w:r w:rsidR="002E2352" w:rsidRPr="002E2352">
        <w:t xml:space="preserve"> a good outcome</w:t>
      </w:r>
      <w:r w:rsidR="008F68C9">
        <w:t xml:space="preserve"> or teach</w:t>
      </w:r>
      <w:r>
        <w:t xml:space="preserve"> a lesson</w:t>
      </w:r>
      <w:r w:rsidR="002E2352" w:rsidRPr="002E2352">
        <w:t>.</w:t>
      </w:r>
      <w:r>
        <w:t xml:space="preserve"> </w:t>
      </w:r>
      <w:r w:rsidR="002E2352" w:rsidRPr="002E2352">
        <w:t xml:space="preserve"> In an effort toward brevity, the </w:t>
      </w:r>
      <w:r w:rsidR="008F68C9">
        <w:t>stories are just a brief summary</w:t>
      </w:r>
      <w:r w:rsidR="002E2352" w:rsidRPr="002E2352">
        <w:t xml:space="preserve"> to reflect a sampling of the types of cases that OCRA handled. </w:t>
      </w:r>
      <w:r>
        <w:t xml:space="preserve"> </w:t>
      </w:r>
      <w:r w:rsidR="002E2352" w:rsidRPr="002E2352">
        <w:t xml:space="preserve">A longer Advocacy Report is available upon request. </w:t>
      </w:r>
      <w:r>
        <w:t xml:space="preserve"> </w:t>
      </w:r>
      <w:r w:rsidR="00253AA7">
        <w:t>OCRA summarized c</w:t>
      </w:r>
      <w:r w:rsidR="008F68C9">
        <w:t>ases for the</w:t>
      </w:r>
      <w:r w:rsidR="002E2352" w:rsidRPr="002E2352">
        <w:t xml:space="preserve"> </w:t>
      </w:r>
      <w:r w:rsidR="00253AA7">
        <w:t xml:space="preserve">last </w:t>
      </w:r>
      <w:r w:rsidR="002E2352" w:rsidRPr="002E2352">
        <w:t>fiscal yea</w:t>
      </w:r>
      <w:r>
        <w:t xml:space="preserve">r in the </w:t>
      </w:r>
      <w:r w:rsidR="00253AA7">
        <w:t>Advocacy Report section of</w:t>
      </w:r>
      <w:r>
        <w:t xml:space="preserve"> the </w:t>
      </w:r>
      <w:r w:rsidR="00253AA7">
        <w:t xml:space="preserve">2014-2015 </w:t>
      </w:r>
      <w:r w:rsidR="002E2352" w:rsidRPr="002E2352">
        <w:t xml:space="preserve">Annual Report. </w:t>
      </w:r>
      <w:r>
        <w:t xml:space="preserve"> The summaries from </w:t>
      </w:r>
      <w:r w:rsidR="00253AA7">
        <w:t>July 2015, through December</w:t>
      </w:r>
      <w:r>
        <w:t xml:space="preserve"> 2015</w:t>
      </w:r>
      <w:r w:rsidR="002E2352" w:rsidRPr="002E2352">
        <w:t xml:space="preserve"> are compiled and attached as Exhibit C. </w:t>
      </w:r>
    </w:p>
    <w:p w14:paraId="08698723" w14:textId="77777777" w:rsidR="00AF2723" w:rsidRPr="00D712AA" w:rsidRDefault="002E2352" w:rsidP="00D712AA">
      <w:pPr>
        <w:rPr>
          <w:rFonts w:eastAsia="Calibri"/>
          <w:i/>
          <w:iCs/>
          <w:color w:val="0D0D0D"/>
        </w:rPr>
      </w:pPr>
      <w:r w:rsidRPr="002E2352">
        <w:t xml:space="preserve">These advocacy </w:t>
      </w:r>
      <w:r w:rsidR="00AF2723">
        <w:t>stories</w:t>
      </w:r>
      <w:r w:rsidRPr="002E2352">
        <w:t xml:space="preserve"> show the extraordinary value and diversity of OCRA’s work. </w:t>
      </w:r>
      <w:r w:rsidR="00AF2723">
        <w:t xml:space="preserve"> </w:t>
      </w:r>
      <w:r w:rsidRPr="002E2352">
        <w:t xml:space="preserve">Many of these cases reflect resolution of systemic problems through direct representation </w:t>
      </w:r>
      <w:r w:rsidR="00BA1BB3">
        <w:t>while others demonstrate resolution through collaborative relationships</w:t>
      </w:r>
      <w:r w:rsidRPr="002E2352">
        <w:t xml:space="preserve">. </w:t>
      </w:r>
      <w:r w:rsidR="00A02F4A">
        <w:t xml:space="preserve"> </w:t>
      </w:r>
      <w:r w:rsidR="00D712AA">
        <w:t>During this reporting period, we had a large number of IHSS cases.  T</w:t>
      </w:r>
      <w:r w:rsidR="00BA1BB3">
        <w:t>hese cases are important</w:t>
      </w:r>
      <w:r w:rsidR="00D712AA">
        <w:t xml:space="preserve">, as we noticed a trend with </w:t>
      </w:r>
      <w:r w:rsidR="00BA1BB3">
        <w:t>consumer and family member concern about</w:t>
      </w:r>
      <w:r w:rsidR="00D712AA">
        <w:t xml:space="preserve"> the new overtime rules and the </w:t>
      </w:r>
      <w:r w:rsidR="00BA1BB3">
        <w:t xml:space="preserve">implementation of </w:t>
      </w:r>
      <w:r w:rsidR="00D712AA">
        <w:t xml:space="preserve">parent provider regulations.  As consumers and family members call our office about these issues, </w:t>
      </w:r>
      <w:r w:rsidR="00BA1BB3">
        <w:t xml:space="preserve">we help them </w:t>
      </w:r>
      <w:r w:rsidR="00D712AA">
        <w:t>with their individual legal issue</w:t>
      </w:r>
      <w:r w:rsidR="00BA1BB3">
        <w:t>, provide trainings to the community, and identify patterns which we work to resolve with county</w:t>
      </w:r>
      <w:r w:rsidR="00D712AA">
        <w:t>.</w:t>
      </w:r>
    </w:p>
    <w:p w14:paraId="53720A27" w14:textId="77777777" w:rsidR="00F95FBE" w:rsidRDefault="00D75CCE" w:rsidP="00C355FA">
      <w:r>
        <w:t>We post all of our advocacy reports and other success stories</w:t>
      </w:r>
      <w:r w:rsidR="00F95FBE">
        <w:t xml:space="preserve"> on our website at least weekly, often daily.  These stories are a quick and easy way for DDS and the public to see summaries of our work </w:t>
      </w:r>
      <w:r>
        <w:t>and better understand the rights of people with disabilities</w:t>
      </w:r>
      <w:r w:rsidR="00F95FBE">
        <w:t>.</w:t>
      </w:r>
    </w:p>
    <w:p w14:paraId="58FC5C19" w14:textId="77777777" w:rsidR="002E2352" w:rsidRPr="002E2352" w:rsidRDefault="002E2352" w:rsidP="00FA3FB1">
      <w:pPr>
        <w:pStyle w:val="Heading3"/>
      </w:pPr>
      <w:bookmarkStart w:id="9" w:name="_Toc428549012"/>
      <w:bookmarkStart w:id="10" w:name="_Toc441673589"/>
      <w:r w:rsidRPr="002E2352">
        <w:lastRenderedPageBreak/>
        <w:t>2) Analysis of Consumers Served.</w:t>
      </w:r>
      <w:bookmarkEnd w:id="9"/>
      <w:bookmarkEnd w:id="10"/>
      <w:r w:rsidRPr="002E2352">
        <w:t xml:space="preserve"> </w:t>
      </w:r>
    </w:p>
    <w:p w14:paraId="6466146E" w14:textId="77777777" w:rsidR="002E2352" w:rsidRPr="002E2352" w:rsidRDefault="00A02F4A" w:rsidP="00C355FA">
      <w:r>
        <w:t xml:space="preserve">OCRA handled </w:t>
      </w:r>
      <w:r w:rsidR="004E0866">
        <w:t>5,120</w:t>
      </w:r>
      <w:r w:rsidR="002E2352" w:rsidRPr="002E2352">
        <w:t xml:space="preserve"> cases from Jul</w:t>
      </w:r>
      <w:r w:rsidR="004E0866">
        <w:t>y 1, 2015</w:t>
      </w:r>
      <w:r>
        <w:t xml:space="preserve">, through </w:t>
      </w:r>
      <w:r w:rsidR="004E0866">
        <w:t>December 31</w:t>
      </w:r>
      <w:r>
        <w:t>, 2015</w:t>
      </w:r>
      <w:r w:rsidR="002E2352" w:rsidRPr="002E2352">
        <w:t xml:space="preserve">. </w:t>
      </w:r>
      <w:r>
        <w:t xml:space="preserve"> Exhibit B contains</w:t>
      </w:r>
      <w:r w:rsidR="002E2352" w:rsidRPr="002E2352">
        <w:t xml:space="preserve"> the complete compilation of data for the fiscal year. </w:t>
      </w:r>
    </w:p>
    <w:p w14:paraId="6217166D" w14:textId="77777777" w:rsidR="00791A44" w:rsidRDefault="00791A44" w:rsidP="00C355FA"/>
    <w:p w14:paraId="3B2AA8A3" w14:textId="77777777" w:rsidR="002E2352" w:rsidRPr="002E2352" w:rsidRDefault="002E2352" w:rsidP="00C355FA">
      <w:r w:rsidRPr="002E2352">
        <w:t xml:space="preserve">The data has been compiled by: </w:t>
      </w:r>
    </w:p>
    <w:p w14:paraId="6E944589" w14:textId="77777777" w:rsidR="002E2352" w:rsidRPr="002E2352" w:rsidRDefault="002E2352" w:rsidP="002E2352">
      <w:pPr>
        <w:spacing w:after="0" w:line="240" w:lineRule="auto"/>
      </w:pPr>
      <w:r w:rsidRPr="002E2352">
        <w:t xml:space="preserve">1. Age </w:t>
      </w:r>
    </w:p>
    <w:p w14:paraId="493C8E2F" w14:textId="77777777" w:rsidR="002E2352" w:rsidRPr="002E2352" w:rsidRDefault="002E2352" w:rsidP="002E2352">
      <w:pPr>
        <w:spacing w:after="0" w:line="240" w:lineRule="auto"/>
      </w:pPr>
      <w:r w:rsidRPr="002E2352">
        <w:t xml:space="preserve">2. County </w:t>
      </w:r>
    </w:p>
    <w:p w14:paraId="33276CD4" w14:textId="77777777" w:rsidR="002E2352" w:rsidRPr="002E2352" w:rsidRDefault="002E2352" w:rsidP="002E2352">
      <w:pPr>
        <w:spacing w:after="0" w:line="240" w:lineRule="auto"/>
      </w:pPr>
      <w:r w:rsidRPr="002E2352">
        <w:t xml:space="preserve">3. Disability </w:t>
      </w:r>
    </w:p>
    <w:p w14:paraId="0A86CCFF" w14:textId="77777777" w:rsidR="002E2352" w:rsidRPr="002E2352" w:rsidRDefault="002E2352" w:rsidP="002E2352">
      <w:pPr>
        <w:spacing w:after="0" w:line="240" w:lineRule="auto"/>
      </w:pPr>
      <w:r w:rsidRPr="002E2352">
        <w:t xml:space="preserve">4. Ethnicity </w:t>
      </w:r>
    </w:p>
    <w:p w14:paraId="70730D27" w14:textId="77777777" w:rsidR="004E0866" w:rsidRDefault="002E2352" w:rsidP="002E2352">
      <w:pPr>
        <w:spacing w:after="0" w:line="240" w:lineRule="auto"/>
      </w:pPr>
      <w:r w:rsidRPr="002E2352">
        <w:t xml:space="preserve">5. </w:t>
      </w:r>
      <w:r w:rsidR="004E0866">
        <w:t>Race</w:t>
      </w:r>
    </w:p>
    <w:p w14:paraId="08CC8C0E" w14:textId="77777777" w:rsidR="002E2352" w:rsidRPr="002E2352" w:rsidRDefault="004E0866" w:rsidP="002E2352">
      <w:pPr>
        <w:spacing w:after="0" w:line="240" w:lineRule="auto"/>
      </w:pPr>
      <w:r>
        <w:t xml:space="preserve">6. </w:t>
      </w:r>
      <w:r w:rsidR="002E2352" w:rsidRPr="002E2352">
        <w:t xml:space="preserve">Gender </w:t>
      </w:r>
    </w:p>
    <w:p w14:paraId="2A25A45E" w14:textId="77777777" w:rsidR="002E2352" w:rsidRPr="002E2352" w:rsidRDefault="004E0866" w:rsidP="002E2352">
      <w:pPr>
        <w:spacing w:after="0" w:line="240" w:lineRule="auto"/>
      </w:pPr>
      <w:r>
        <w:t>7</w:t>
      </w:r>
      <w:r w:rsidR="002E2352" w:rsidRPr="002E2352">
        <w:t xml:space="preserve">. Living Arrangement </w:t>
      </w:r>
    </w:p>
    <w:p w14:paraId="011F753B" w14:textId="77777777" w:rsidR="002E2352" w:rsidRPr="002E2352" w:rsidRDefault="004E0866" w:rsidP="002E2352">
      <w:pPr>
        <w:spacing w:after="0" w:line="240" w:lineRule="auto"/>
      </w:pPr>
      <w:r>
        <w:t>8</w:t>
      </w:r>
      <w:r w:rsidR="002E2352" w:rsidRPr="002E2352">
        <w:t xml:space="preserve">. Type of Problem (Problem Codes) </w:t>
      </w:r>
    </w:p>
    <w:p w14:paraId="2EE10C10" w14:textId="77777777" w:rsidR="002E2352" w:rsidRPr="002E2352" w:rsidRDefault="004E0866" w:rsidP="002E2352">
      <w:pPr>
        <w:spacing w:after="0" w:line="240" w:lineRule="auto"/>
      </w:pPr>
      <w:r>
        <w:t>9</w:t>
      </w:r>
      <w:r w:rsidR="002E2352" w:rsidRPr="002E2352">
        <w:t xml:space="preserve">. Service Level </w:t>
      </w:r>
    </w:p>
    <w:p w14:paraId="0A987B10" w14:textId="77777777" w:rsidR="002E2352" w:rsidRPr="002E2352" w:rsidRDefault="002E2352" w:rsidP="002E2352">
      <w:pPr>
        <w:spacing w:after="0" w:line="240" w:lineRule="auto"/>
      </w:pPr>
    </w:p>
    <w:p w14:paraId="16B5CB1A" w14:textId="77777777" w:rsidR="005423A1" w:rsidRDefault="005423A1" w:rsidP="00C355FA">
      <w:r>
        <w:t>Please</w:t>
      </w:r>
      <w:r w:rsidRPr="005423A1">
        <w:t xml:space="preserve"> note that the reports included here are in non-table format so that they are accessible</w:t>
      </w:r>
      <w:r w:rsidR="00847D8F">
        <w:t xml:space="preserve"> to individuals who use screen</w:t>
      </w:r>
      <w:r w:rsidR="00B27D40">
        <w:t>-</w:t>
      </w:r>
      <w:r w:rsidR="00847D8F">
        <w:t>readers</w:t>
      </w:r>
      <w:r w:rsidRPr="005423A1">
        <w:t xml:space="preserve">. </w:t>
      </w:r>
      <w:r>
        <w:t xml:space="preserve"> </w:t>
      </w:r>
      <w:r w:rsidRPr="005423A1">
        <w:t>Although the data is still contained in grids, each row of the table is self-explanatory as read from left to right and does not require the navigational reference of a table header row for context.</w:t>
      </w:r>
    </w:p>
    <w:p w14:paraId="573D5BB4" w14:textId="77777777" w:rsidR="00A02F4A" w:rsidRDefault="005C729D" w:rsidP="004E0866">
      <w:r w:rsidRPr="005C729D">
        <w:t>38.5 percent of individuals served by OCRA were in the 4-to-17 years-old age group.  This is the</w:t>
      </w:r>
      <w:r w:rsidR="002E2352" w:rsidRPr="005C729D">
        <w:t xml:space="preserve"> largest </w:t>
      </w:r>
      <w:r w:rsidRPr="005C729D">
        <w:t>percentage</w:t>
      </w:r>
      <w:r w:rsidR="002E2352" w:rsidRPr="005C729D">
        <w:t xml:space="preserve"> of consumers served by age</w:t>
      </w:r>
      <w:r w:rsidR="008B60A6" w:rsidRPr="005C729D">
        <w:t xml:space="preserve"> during this time period</w:t>
      </w:r>
      <w:r w:rsidR="002E2352" w:rsidRPr="005C729D">
        <w:t xml:space="preserve">. </w:t>
      </w:r>
      <w:r w:rsidR="008B60A6" w:rsidRPr="005C729D">
        <w:t xml:space="preserve"> </w:t>
      </w:r>
      <w:r w:rsidR="002E2352" w:rsidRPr="005C729D">
        <w:t>The next largest was the 23-40 age group with</w:t>
      </w:r>
      <w:r w:rsidRPr="005C729D">
        <w:t xml:space="preserve"> 24.2 percent</w:t>
      </w:r>
      <w:r w:rsidR="00C355FA" w:rsidRPr="005C729D">
        <w:t xml:space="preserve">.  </w:t>
      </w:r>
      <w:r>
        <w:t>These data are consistent with previous semi-annual and annual reports.</w:t>
      </w:r>
      <w:r w:rsidR="008B60A6">
        <w:t xml:space="preserve">  </w:t>
      </w:r>
      <w:r w:rsidR="002E2352" w:rsidRPr="002E2352">
        <w:t xml:space="preserve">For those cases where gender is recorded, </w:t>
      </w:r>
      <w:r w:rsidR="00BA1BB3">
        <w:t xml:space="preserve">as in the past </w:t>
      </w:r>
      <w:r w:rsidR="002E2352" w:rsidRPr="002E2352">
        <w:t>OCR</w:t>
      </w:r>
      <w:r w:rsidR="00BA1BB3">
        <w:t xml:space="preserve">A </w:t>
      </w:r>
      <w:r w:rsidR="002E2352" w:rsidRPr="002E2352">
        <w:t xml:space="preserve">served more males than females, </w:t>
      </w:r>
      <w:r w:rsidR="002806F1">
        <w:t xml:space="preserve">with </w:t>
      </w:r>
      <w:r w:rsidR="004E0866">
        <w:t>64</w:t>
      </w:r>
      <w:r w:rsidR="002E2352" w:rsidRPr="002E2352">
        <w:t xml:space="preserve"> percent of the co</w:t>
      </w:r>
      <w:r w:rsidR="004E0866">
        <w:t>nsumers served being male and 36</w:t>
      </w:r>
      <w:r w:rsidR="002E2352" w:rsidRPr="002E2352">
        <w:t xml:space="preserve"> percent being female in this reporting period</w:t>
      </w:r>
      <w:r w:rsidR="002E2352" w:rsidRPr="004E0866">
        <w:t xml:space="preserve">. </w:t>
      </w:r>
      <w:r w:rsidR="008B60A6" w:rsidRPr="004E0866">
        <w:t xml:space="preserve"> </w:t>
      </w:r>
      <w:r w:rsidR="00BF7419" w:rsidRPr="004E0866">
        <w:t xml:space="preserve">These numbers </w:t>
      </w:r>
      <w:r w:rsidR="004E0866" w:rsidRPr="004E0866">
        <w:t>continue to coincide</w:t>
      </w:r>
      <w:r w:rsidR="00BF7419" w:rsidRPr="004E0866">
        <w:t xml:space="preserve"> </w:t>
      </w:r>
      <w:r w:rsidR="004E0866" w:rsidRPr="004E0866">
        <w:t>with</w:t>
      </w:r>
      <w:r w:rsidR="00BF7419" w:rsidRPr="004E0866">
        <w:t xml:space="preserve"> the percentage served by regional centers, according to the DDS Fact Book, 12</w:t>
      </w:r>
      <w:r w:rsidR="00BF7419" w:rsidRPr="004E0866">
        <w:rPr>
          <w:vertAlign w:val="superscript"/>
        </w:rPr>
        <w:t>th</w:t>
      </w:r>
      <w:r w:rsidR="00BF7419" w:rsidRPr="004E0866">
        <w:t xml:space="preserve"> Edition.</w:t>
      </w:r>
      <w:r w:rsidR="00BF7419">
        <w:t xml:space="preserve">  The Fact Book attributes the growing gender imbalance, </w:t>
      </w:r>
      <w:r w:rsidR="00BF7419" w:rsidRPr="00BF7419">
        <w:t xml:space="preserve">in large part, to the growing Autism population, which is </w:t>
      </w:r>
      <w:r w:rsidR="00D66EF4">
        <w:t>currently over 80 percent</w:t>
      </w:r>
      <w:r w:rsidR="00BF7419" w:rsidRPr="00BF7419">
        <w:t xml:space="preserve"> male.</w:t>
      </w:r>
    </w:p>
    <w:p w14:paraId="67F3F3E0" w14:textId="0499CD88" w:rsidR="003A1C3E" w:rsidRPr="009C431A" w:rsidRDefault="002E2352" w:rsidP="00C355FA">
      <w:r w:rsidRPr="009C431A">
        <w:t xml:space="preserve">The percentage of consumers residing in the parental or other family home remains by far the largest number of </w:t>
      </w:r>
      <w:r w:rsidR="009125B8" w:rsidRPr="009C431A">
        <w:t xml:space="preserve">service requests for </w:t>
      </w:r>
      <w:r w:rsidRPr="009C431A">
        <w:t xml:space="preserve">consumers served </w:t>
      </w:r>
      <w:r w:rsidR="00C00BF8" w:rsidRPr="009C431A">
        <w:t xml:space="preserve">by OCRA, </w:t>
      </w:r>
      <w:r w:rsidRPr="009C431A">
        <w:t xml:space="preserve">with </w:t>
      </w:r>
      <w:r w:rsidR="009C431A" w:rsidRPr="009C431A">
        <w:t>3,629</w:t>
      </w:r>
      <w:r w:rsidRPr="009C431A">
        <w:t xml:space="preserve"> </w:t>
      </w:r>
      <w:r w:rsidR="009125B8" w:rsidRPr="009C431A">
        <w:t xml:space="preserve">service requests showing </w:t>
      </w:r>
      <w:r w:rsidRPr="009C431A">
        <w:t xml:space="preserve">consumers living in the family home or </w:t>
      </w:r>
      <w:r w:rsidR="00C00BF8" w:rsidRPr="009C431A">
        <w:t xml:space="preserve">almost </w:t>
      </w:r>
      <w:r w:rsidR="009C431A" w:rsidRPr="009C431A">
        <w:t>71</w:t>
      </w:r>
      <w:r w:rsidRPr="009C431A">
        <w:t xml:space="preserve"> percent of the cases handled. </w:t>
      </w:r>
      <w:r w:rsidR="00C00BF8" w:rsidRPr="009C431A">
        <w:t xml:space="preserve"> </w:t>
      </w:r>
      <w:r w:rsidR="009C431A" w:rsidRPr="009C431A">
        <w:t xml:space="preserve">This </w:t>
      </w:r>
      <w:r w:rsidR="009C431A" w:rsidRPr="009C431A">
        <w:lastRenderedPageBreak/>
        <w:t>percentage is lower than the</w:t>
      </w:r>
      <w:r w:rsidR="00257590">
        <w:t xml:space="preserve"> </w:t>
      </w:r>
      <w:r w:rsidR="009C431A" w:rsidRPr="009C431A">
        <w:t xml:space="preserve">74 percent from OCRA’s last annual report.  </w:t>
      </w:r>
      <w:r w:rsidRPr="009C431A">
        <w:t>The next largest group served i</w:t>
      </w:r>
      <w:r w:rsidR="00A02F4A" w:rsidRPr="009C431A">
        <w:t xml:space="preserve">s those living independently, </w:t>
      </w:r>
      <w:r w:rsidRPr="009C431A">
        <w:t xml:space="preserve">with </w:t>
      </w:r>
      <w:r w:rsidR="009C431A" w:rsidRPr="009C431A">
        <w:t>644</w:t>
      </w:r>
      <w:r w:rsidR="009125B8" w:rsidRPr="009C431A">
        <w:t xml:space="preserve"> service requests or</w:t>
      </w:r>
      <w:r w:rsidR="009C431A" w:rsidRPr="009C431A">
        <w:t xml:space="preserve"> just over 12.5</w:t>
      </w:r>
      <w:r w:rsidRPr="009C431A">
        <w:t xml:space="preserve"> percent with this living arrangement. </w:t>
      </w:r>
      <w:r w:rsidR="009125B8" w:rsidRPr="009C431A">
        <w:t xml:space="preserve"> </w:t>
      </w:r>
      <w:r w:rsidR="009C431A" w:rsidRPr="009C431A">
        <w:t xml:space="preserve">This is higher than the 10 percent in OCRA’s last annual report.  </w:t>
      </w:r>
      <w:r w:rsidR="007D5BCF">
        <w:t xml:space="preserve">Given our increased involvement with people transitioning from developmental centers and other restrictive settings into the community, we expect this number will continue to grow.  See section below on consumers </w:t>
      </w:r>
      <w:r w:rsidR="00894452">
        <w:t xml:space="preserve">assisted with </w:t>
      </w:r>
      <w:r w:rsidR="007D5BCF">
        <w:t xml:space="preserve">moving to </w:t>
      </w:r>
      <w:r w:rsidR="00894452">
        <w:t xml:space="preserve">a </w:t>
      </w:r>
      <w:r w:rsidR="007D5BCF">
        <w:t xml:space="preserve">less restrictive </w:t>
      </w:r>
      <w:r w:rsidR="00894452">
        <w:t>living arrangement</w:t>
      </w:r>
      <w:r w:rsidR="007D5BCF">
        <w:t>.</w:t>
      </w:r>
    </w:p>
    <w:p w14:paraId="14DFB4B1" w14:textId="77777777" w:rsidR="00D66EF4" w:rsidRPr="004E0866" w:rsidRDefault="002E2352" w:rsidP="00C355FA">
      <w:pPr>
        <w:rPr>
          <w:highlight w:val="yellow"/>
        </w:rPr>
      </w:pPr>
      <w:r w:rsidRPr="00F643BC">
        <w:t xml:space="preserve">OCRA’s statistics on the ethnicity of consumers served for the year show OCRA’s continuing commitment and success in serving underserved communities. </w:t>
      </w:r>
      <w:r w:rsidR="009125B8" w:rsidRPr="00F643BC">
        <w:t xml:space="preserve"> </w:t>
      </w:r>
      <w:r w:rsidR="00F643BC" w:rsidRPr="00F643BC">
        <w:t>For example, 38</w:t>
      </w:r>
      <w:r w:rsidR="00D66EF4" w:rsidRPr="00F643BC">
        <w:t xml:space="preserve"> percent</w:t>
      </w:r>
      <w:r w:rsidRPr="00F643BC">
        <w:t xml:space="preserve"> of consumers served by OCRA identified as Hispanic/Latino. </w:t>
      </w:r>
      <w:r w:rsidR="009125B8" w:rsidRPr="00F643BC">
        <w:t xml:space="preserve"> </w:t>
      </w:r>
      <w:r w:rsidR="00BF7419" w:rsidRPr="00F643BC">
        <w:t xml:space="preserve">This is </w:t>
      </w:r>
      <w:r w:rsidR="00F643BC" w:rsidRPr="00F643BC">
        <w:t>about the same percentage that</w:t>
      </w:r>
      <w:r w:rsidR="00BF7419" w:rsidRPr="00F643BC">
        <w:t xml:space="preserve"> OCRA served last year, and higher than the 36.1</w:t>
      </w:r>
      <w:r w:rsidR="00D66EF4" w:rsidRPr="00F643BC">
        <w:t xml:space="preserve"> percent</w:t>
      </w:r>
      <w:r w:rsidRPr="00F643BC">
        <w:t xml:space="preserve"> of regional center consumers identified as Hispanic/Latino </w:t>
      </w:r>
      <w:r w:rsidR="00BF7419" w:rsidRPr="00F643BC">
        <w:t xml:space="preserve">in January 2014, taken from the </w:t>
      </w:r>
      <w:r w:rsidRPr="00F643BC">
        <w:t xml:space="preserve">DDS </w:t>
      </w:r>
      <w:r w:rsidR="00BF7419" w:rsidRPr="00F643BC">
        <w:t>Fact Book, 12</w:t>
      </w:r>
      <w:r w:rsidR="00BF7419" w:rsidRPr="00F643BC">
        <w:rPr>
          <w:vertAlign w:val="superscript"/>
        </w:rPr>
        <w:t>th</w:t>
      </w:r>
      <w:r w:rsidR="00BF7419" w:rsidRPr="00F643BC">
        <w:t xml:space="preserve"> Edition</w:t>
      </w:r>
      <w:r w:rsidRPr="00F643BC">
        <w:t xml:space="preserve">. </w:t>
      </w:r>
      <w:r w:rsidR="00BF7419" w:rsidRPr="00F643BC">
        <w:t xml:space="preserve"> </w:t>
      </w:r>
    </w:p>
    <w:p w14:paraId="65239562" w14:textId="77777777" w:rsidR="002E2352" w:rsidRDefault="00D66EF4" w:rsidP="00C355FA">
      <w:r w:rsidRPr="00F643BC">
        <w:t xml:space="preserve">African-American and Asian consumer data is under the </w:t>
      </w:r>
      <w:r w:rsidR="00F643BC" w:rsidRPr="00F643BC">
        <w:t xml:space="preserve">report for “race,” which </w:t>
      </w:r>
      <w:r w:rsidRPr="00F643BC">
        <w:t xml:space="preserve">has been separated from “ethnicity” in our reporting system.  </w:t>
      </w:r>
      <w:r w:rsidR="004834BB" w:rsidRPr="00F643BC">
        <w:t>African-</w:t>
      </w:r>
      <w:r w:rsidR="002E2352" w:rsidRPr="00F643BC">
        <w:t xml:space="preserve">American consumers represent </w:t>
      </w:r>
      <w:r w:rsidR="00BF7419" w:rsidRPr="00F643BC">
        <w:t>9.4</w:t>
      </w:r>
      <w:r w:rsidRPr="00F643BC">
        <w:t xml:space="preserve"> percent</w:t>
      </w:r>
      <w:r w:rsidR="002E2352" w:rsidRPr="00F643BC">
        <w:t xml:space="preserve"> of regional cen</w:t>
      </w:r>
      <w:r w:rsidR="00C83DC2" w:rsidRPr="00F643BC">
        <w:t xml:space="preserve">ter consumers, but a </w:t>
      </w:r>
      <w:r w:rsidR="00F643BC" w:rsidRPr="00F643BC">
        <w:t xml:space="preserve">slightly </w:t>
      </w:r>
      <w:r w:rsidR="00C83DC2" w:rsidRPr="00F643BC">
        <w:t xml:space="preserve">higher </w:t>
      </w:r>
      <w:r w:rsidR="00F643BC" w:rsidRPr="00F643BC">
        <w:t>9.6</w:t>
      </w:r>
      <w:r w:rsidRPr="00F643BC">
        <w:t xml:space="preserve"> percent</w:t>
      </w:r>
      <w:r w:rsidR="002E2352" w:rsidRPr="00F643BC">
        <w:t xml:space="preserve"> of consumers served by OCRA.</w:t>
      </w:r>
      <w:r w:rsidR="00BF7419" w:rsidRPr="00F643BC">
        <w:t xml:space="preserve"> </w:t>
      </w:r>
      <w:r w:rsidR="002E2352" w:rsidRPr="00F643BC">
        <w:t xml:space="preserve"> </w:t>
      </w:r>
      <w:r w:rsidRPr="00F643BC">
        <w:t xml:space="preserve">Asian consumers make up 6.4 percent of regional center consumers, </w:t>
      </w:r>
      <w:r w:rsidR="00C77FF0" w:rsidRPr="00F643BC">
        <w:t xml:space="preserve">but a higher </w:t>
      </w:r>
      <w:r w:rsidR="00CC29EC">
        <w:t>7.2</w:t>
      </w:r>
      <w:r w:rsidR="00C77FF0" w:rsidRPr="00F643BC">
        <w:t xml:space="preserve"> percent</w:t>
      </w:r>
      <w:r w:rsidRPr="00F643BC">
        <w:t xml:space="preserve"> of consumers served by OCRA.  </w:t>
      </w:r>
      <w:r w:rsidR="002E2352" w:rsidRPr="00F643BC">
        <w:t xml:space="preserve">To further </w:t>
      </w:r>
      <w:r w:rsidR="004834BB" w:rsidRPr="00F643BC">
        <w:t>the</w:t>
      </w:r>
      <w:r w:rsidR="002E2352" w:rsidRPr="00F643BC">
        <w:t xml:space="preserve"> goal</w:t>
      </w:r>
      <w:r w:rsidR="004834BB" w:rsidRPr="00F643BC">
        <w:t xml:space="preserve"> to successfully serve </w:t>
      </w:r>
      <w:r w:rsidRPr="00F643BC">
        <w:t xml:space="preserve">all </w:t>
      </w:r>
      <w:r w:rsidR="004834BB" w:rsidRPr="00F643BC">
        <w:t>underserved communities</w:t>
      </w:r>
      <w:r w:rsidR="002E2352" w:rsidRPr="00F643BC">
        <w:t xml:space="preserve">, </w:t>
      </w:r>
      <w:r w:rsidR="00C77FF0" w:rsidRPr="00F643BC">
        <w:t>see section 4 below,</w:t>
      </w:r>
      <w:r w:rsidRPr="00F643BC">
        <w:t xml:space="preserve"> </w:t>
      </w:r>
      <w:r w:rsidR="002E2352" w:rsidRPr="00F643BC">
        <w:t xml:space="preserve">OCRA staff </w:t>
      </w:r>
      <w:r w:rsidR="004E60F6">
        <w:t>continue to do targeted outreach.  M</w:t>
      </w:r>
      <w:r w:rsidR="00F643BC" w:rsidRPr="00F643BC">
        <w:t xml:space="preserve">ore OCRA offices have targeted </w:t>
      </w:r>
      <w:r w:rsidR="004E60F6" w:rsidRPr="00F643BC">
        <w:t>the Asian and Afric</w:t>
      </w:r>
      <w:r w:rsidR="004E60F6">
        <w:t xml:space="preserve">an-American communities </w:t>
      </w:r>
      <w:r w:rsidR="00F643BC" w:rsidRPr="00F643BC">
        <w:t>in their two-year outreach plans than in previous years</w:t>
      </w:r>
      <w:r w:rsidR="004E60F6">
        <w:t xml:space="preserve"> in an effort to continue the relationship building that has enabled us to serve those communities well</w:t>
      </w:r>
      <w:r w:rsidR="00F643BC" w:rsidRPr="00F643BC">
        <w:t xml:space="preserve">.  </w:t>
      </w:r>
      <w:r w:rsidR="00CC29EC">
        <w:t xml:space="preserve">See section A.4 for more details on outreach plans.  </w:t>
      </w:r>
      <w:r w:rsidR="00F643BC" w:rsidRPr="00F643BC">
        <w:t xml:space="preserve">OCRA also </w:t>
      </w:r>
      <w:r w:rsidR="00F95FBE" w:rsidRPr="00F643BC">
        <w:t>carefully review</w:t>
      </w:r>
      <w:r w:rsidR="00F643BC" w:rsidRPr="00F643BC">
        <w:t>s</w:t>
      </w:r>
      <w:r w:rsidR="002E2352" w:rsidRPr="00F643BC">
        <w:t xml:space="preserve"> the Purchase of Service (POS) Data collected by regional centers under Welfare &amp; Institutions Code </w:t>
      </w:r>
      <w:r w:rsidR="009D7898" w:rsidRPr="00F643BC">
        <w:t>Section</w:t>
      </w:r>
      <w:r w:rsidR="002E2352" w:rsidRPr="00F643BC">
        <w:t xml:space="preserve"> 4519.5. </w:t>
      </w:r>
      <w:r w:rsidR="00F95FBE" w:rsidRPr="00F643BC">
        <w:t xml:space="preserve"> </w:t>
      </w:r>
    </w:p>
    <w:p w14:paraId="2126BB74" w14:textId="77777777" w:rsidR="002E2352" w:rsidRPr="009B3FBD" w:rsidRDefault="002E2352" w:rsidP="00FA3FB1">
      <w:pPr>
        <w:pStyle w:val="Heading3"/>
      </w:pPr>
      <w:bookmarkStart w:id="11" w:name="_Toc428549013"/>
      <w:bookmarkStart w:id="12" w:name="_Toc441673590"/>
      <w:r w:rsidRPr="009B3FBD">
        <w:t>3) Analysis of Consumers Assisted with Moving to a Less Restrictive Living Arrangement.</w:t>
      </w:r>
      <w:bookmarkEnd w:id="11"/>
      <w:bookmarkEnd w:id="12"/>
      <w:r w:rsidRPr="009B3FBD">
        <w:t xml:space="preserve"> </w:t>
      </w:r>
    </w:p>
    <w:p w14:paraId="65F2055D" w14:textId="77777777" w:rsidR="00D36D09" w:rsidRDefault="002E2352" w:rsidP="00C355FA">
      <w:r w:rsidRPr="009B3FBD">
        <w:t xml:space="preserve">Given the </w:t>
      </w:r>
      <w:r w:rsidR="008D125E">
        <w:t>regional center notifications to</w:t>
      </w:r>
      <w:r w:rsidRPr="009B3FBD">
        <w:t xml:space="preserve"> OCRA about people living i</w:t>
      </w:r>
      <w:r w:rsidR="00FA0CC5">
        <w:t>n restrictive settings such as D</w:t>
      </w:r>
      <w:r w:rsidRPr="009B3FBD">
        <w:t xml:space="preserve">evelopmental </w:t>
      </w:r>
      <w:r w:rsidR="00FA0CC5">
        <w:t>C</w:t>
      </w:r>
      <w:r w:rsidRPr="009B3FBD">
        <w:t>enters, IMDs, and MHRCs,</w:t>
      </w:r>
      <w:r w:rsidR="004E0866">
        <w:t xml:space="preserve"> </w:t>
      </w:r>
      <w:r w:rsidR="009B3FBD">
        <w:t xml:space="preserve">the </w:t>
      </w:r>
      <w:r w:rsidR="00FA0CC5">
        <w:t>planned closures of Developmental C</w:t>
      </w:r>
      <w:r w:rsidR="009B3FBD">
        <w:t>enters,</w:t>
      </w:r>
      <w:r w:rsidRPr="009B3FBD">
        <w:t xml:space="preserve"> </w:t>
      </w:r>
      <w:r w:rsidR="004E0866">
        <w:t xml:space="preserve">and OCRA involvement in reviewing comprehensive assessments and attendance at IPP meetings, </w:t>
      </w:r>
      <w:r w:rsidRPr="009B3FBD">
        <w:t>it</w:t>
      </w:r>
      <w:r w:rsidR="00AA4379">
        <w:t xml:space="preserve"> is important to review OCRA’s </w:t>
      </w:r>
      <w:r w:rsidRPr="009B3FBD">
        <w:t xml:space="preserve">work in this area. </w:t>
      </w:r>
      <w:r w:rsidR="00AA4379">
        <w:t xml:space="preserve"> </w:t>
      </w:r>
    </w:p>
    <w:p w14:paraId="10C4B1C8" w14:textId="77777777" w:rsidR="00A03D9E" w:rsidRDefault="00D36D09" w:rsidP="00A03D9E">
      <w:r>
        <w:lastRenderedPageBreak/>
        <w:t xml:space="preserve">During this </w:t>
      </w:r>
      <w:r w:rsidR="00B31EDE">
        <w:t>6-month period</w:t>
      </w:r>
      <w:r>
        <w:t>,</w:t>
      </w:r>
      <w:r w:rsidR="001F77B3" w:rsidRPr="001F77B3">
        <w:t xml:space="preserve"> </w:t>
      </w:r>
      <w:r w:rsidR="00B31EDE">
        <w:t>three</w:t>
      </w:r>
      <w:r w:rsidR="002E2352" w:rsidRPr="001F77B3">
        <w:t xml:space="preserve"> consumers were placed at </w:t>
      </w:r>
      <w:r w:rsidR="005E1917">
        <w:t xml:space="preserve">the Acute Crises Unit at </w:t>
      </w:r>
      <w:r w:rsidR="001F77B3" w:rsidRPr="001F77B3">
        <w:t>Sonoma</w:t>
      </w:r>
      <w:r w:rsidR="002E2352" w:rsidRPr="001F77B3">
        <w:t xml:space="preserve"> Developmental Center. </w:t>
      </w:r>
      <w:r w:rsidR="009B3FBD" w:rsidRPr="001F77B3">
        <w:t xml:space="preserve"> </w:t>
      </w:r>
      <w:r w:rsidR="002E2352" w:rsidRPr="001F77B3">
        <w:t xml:space="preserve">OCRA </w:t>
      </w:r>
      <w:r w:rsidR="001F77B3" w:rsidRPr="001F77B3">
        <w:t>is directly representing</w:t>
      </w:r>
      <w:r w:rsidR="002E2352" w:rsidRPr="001F77B3">
        <w:t xml:space="preserve"> </w:t>
      </w:r>
      <w:r w:rsidR="00B31EDE">
        <w:t>two of the three.  The third person declined assistance, but OCRA is monitoring his stay</w:t>
      </w:r>
      <w:r w:rsidR="002E2352" w:rsidRPr="001F77B3">
        <w:t>.</w:t>
      </w:r>
      <w:r>
        <w:t xml:space="preserve">  </w:t>
      </w:r>
      <w:r w:rsidR="005E1917">
        <w:t>The N</w:t>
      </w:r>
      <w:r w:rsidR="00A03D9E">
        <w:t xml:space="preserve">orthern California CRA also learned that regional centers had referred two additional clients to Sonoma, but unfortunately </w:t>
      </w:r>
      <w:r w:rsidR="004E60F6">
        <w:t>we did not learn of their</w:t>
      </w:r>
      <w:r w:rsidR="008D125E">
        <w:t xml:space="preserve"> </w:t>
      </w:r>
      <w:r w:rsidR="00E34D59">
        <w:t xml:space="preserve">admission </w:t>
      </w:r>
      <w:r w:rsidR="008D125E">
        <w:t xml:space="preserve">from </w:t>
      </w:r>
      <w:r w:rsidR="00A03D9E">
        <w:t>the regional centers</w:t>
      </w:r>
      <w:r w:rsidR="004E60F6">
        <w:t xml:space="preserve"> as required by Welfare &amp; Institutions Code Section 4418.7(a</w:t>
      </w:r>
      <w:proofErr w:type="gramStart"/>
      <w:r w:rsidR="004E60F6">
        <w:t>)(</w:t>
      </w:r>
      <w:proofErr w:type="gramEnd"/>
      <w:r w:rsidR="004E60F6">
        <w:t>2)</w:t>
      </w:r>
      <w:r w:rsidR="008D125E">
        <w:t xml:space="preserve">.  </w:t>
      </w:r>
      <w:r w:rsidR="00A03D9E">
        <w:t xml:space="preserve">OCRA will continue to work </w:t>
      </w:r>
      <w:r w:rsidR="008D125E">
        <w:t xml:space="preserve">with </w:t>
      </w:r>
      <w:r w:rsidR="00A03D9E">
        <w:t xml:space="preserve">regional centers </w:t>
      </w:r>
      <w:r w:rsidR="008D125E">
        <w:t xml:space="preserve">to </w:t>
      </w:r>
      <w:r w:rsidR="004E60F6">
        <w:t xml:space="preserve">ensure they </w:t>
      </w:r>
      <w:r w:rsidR="00A03D9E">
        <w:t>understand their notification requirements.  For those two clients who were referred to Sonoma, OCRA attended meetings to explore options, and neither were ultimately admitted.</w:t>
      </w:r>
      <w:r w:rsidR="008D125E">
        <w:t xml:space="preserve">  OCRA knows of two consumers who were admitted into </w:t>
      </w:r>
      <w:r w:rsidR="005E1917">
        <w:t xml:space="preserve">the Acute Crises Unit at </w:t>
      </w:r>
      <w:r w:rsidR="008D125E">
        <w:t xml:space="preserve">Fairview </w:t>
      </w:r>
      <w:r w:rsidR="005E1917">
        <w:t xml:space="preserve">Developmental Center </w:t>
      </w:r>
      <w:r w:rsidR="008D125E">
        <w:t>this review period, and represented both of those consumers.  Sadly, one of those consumers passed away on December 30, 2015.</w:t>
      </w:r>
    </w:p>
    <w:p w14:paraId="64E4F5D5" w14:textId="7DD37A8A" w:rsidR="002E2352" w:rsidRDefault="005E1917" w:rsidP="00C355FA">
      <w:r>
        <w:t>Both the Northern and Southern California Community I</w:t>
      </w:r>
      <w:r w:rsidR="00B31EDE">
        <w:t xml:space="preserve">ntegration CRAs have </w:t>
      </w:r>
      <w:r w:rsidR="009B3FBD">
        <w:t xml:space="preserve">been involved in many cases, meetings, and hearings for clients </w:t>
      </w:r>
      <w:r w:rsidR="00B31EDE">
        <w:t xml:space="preserve">who were already living </w:t>
      </w:r>
      <w:r w:rsidR="009B3FBD">
        <w:t xml:space="preserve">in Sonoma </w:t>
      </w:r>
      <w:r w:rsidR="00B31EDE">
        <w:t xml:space="preserve">and Fairview </w:t>
      </w:r>
      <w:r w:rsidR="009B3FBD">
        <w:t>Developmental Center</w:t>
      </w:r>
      <w:r w:rsidR="00B31EDE">
        <w:t>s, respectively</w:t>
      </w:r>
      <w:r w:rsidR="00AA4379">
        <w:t xml:space="preserve">.  Other </w:t>
      </w:r>
      <w:r w:rsidR="009B3FBD">
        <w:t>OCRA staff continue to be involved in many cases, meeting</w:t>
      </w:r>
      <w:r w:rsidR="00784ECE">
        <w:t>s, and hearings for clients who are or were long-time residents at</w:t>
      </w:r>
      <w:r>
        <w:t xml:space="preserve"> Porterville,</w:t>
      </w:r>
      <w:r w:rsidR="009B3FBD">
        <w:t xml:space="preserve"> Fairview </w:t>
      </w:r>
      <w:r w:rsidR="00AA4379">
        <w:t xml:space="preserve">and Sonoma </w:t>
      </w:r>
      <w:r w:rsidR="009B3FBD">
        <w:t>Developmental Center</w:t>
      </w:r>
      <w:r w:rsidR="00AA4379">
        <w:t xml:space="preserve">s.  </w:t>
      </w:r>
      <w:r w:rsidR="007D5BCF">
        <w:t xml:space="preserve">In total, OCRA staff have assisted </w:t>
      </w:r>
      <w:r w:rsidR="008F3B87">
        <w:t xml:space="preserve">over </w:t>
      </w:r>
      <w:r w:rsidR="00737C45">
        <w:t>89</w:t>
      </w:r>
      <w:r w:rsidR="008F3B87">
        <w:t xml:space="preserve"> </w:t>
      </w:r>
      <w:r w:rsidR="00894452">
        <w:t xml:space="preserve">consumers residing in developmental centers </w:t>
      </w:r>
      <w:r w:rsidR="007D5BCF">
        <w:t>by reviewing assessment</w:t>
      </w:r>
      <w:r w:rsidR="008F3B87">
        <w:t>s</w:t>
      </w:r>
      <w:r w:rsidR="00894452">
        <w:t>, attending</w:t>
      </w:r>
      <w:r w:rsidR="007D5BCF">
        <w:t xml:space="preserve"> IPP and other types of meetings</w:t>
      </w:r>
      <w:r w:rsidR="00894452">
        <w:t>,</w:t>
      </w:r>
      <w:r w:rsidR="008F3B87">
        <w:t xml:space="preserve"> and </w:t>
      </w:r>
      <w:r w:rsidR="00894452">
        <w:t xml:space="preserve">attending </w:t>
      </w:r>
      <w:r w:rsidR="008F3B87">
        <w:t>hearings</w:t>
      </w:r>
      <w:r w:rsidR="007D5BCF">
        <w:t xml:space="preserve">.  </w:t>
      </w:r>
      <w:r w:rsidR="008F3B87">
        <w:t xml:space="preserve">OCRA </w:t>
      </w:r>
      <w:r w:rsidR="00CA0344">
        <w:t xml:space="preserve">staff </w:t>
      </w:r>
      <w:r w:rsidR="00894452">
        <w:t>have assisted over 39</w:t>
      </w:r>
      <w:r w:rsidR="008F3B87">
        <w:t xml:space="preserve"> </w:t>
      </w:r>
      <w:r w:rsidR="007D5BCF">
        <w:t xml:space="preserve">clients who are in </w:t>
      </w:r>
      <w:r w:rsidR="009B3FBD" w:rsidRPr="009B3FBD">
        <w:t xml:space="preserve">IMDs </w:t>
      </w:r>
      <w:r w:rsidR="00AA4379">
        <w:t xml:space="preserve">and MHRCs </w:t>
      </w:r>
      <w:r w:rsidR="009B3FBD" w:rsidRPr="009B3FBD">
        <w:t>such as College Hospital</w:t>
      </w:r>
      <w:r w:rsidR="00D75CCE">
        <w:t>, California Psychiatric Transitions,</w:t>
      </w:r>
      <w:r w:rsidR="009B3FBD">
        <w:t xml:space="preserve"> and Lakewood Health Center</w:t>
      </w:r>
      <w:r w:rsidR="007D5BCF">
        <w:t xml:space="preserve">.  </w:t>
      </w:r>
      <w:r w:rsidR="00AA4379">
        <w:t>OCRA works</w:t>
      </w:r>
      <w:r w:rsidR="001C4ACE">
        <w:t xml:space="preserve"> internally to determine which IPP meetings to attend and which clients to represent.</w:t>
      </w:r>
      <w:r w:rsidR="009B3FBD" w:rsidRPr="009B3FBD">
        <w:t xml:space="preserve"> </w:t>
      </w:r>
    </w:p>
    <w:p w14:paraId="3EB7E4B7" w14:textId="77777777" w:rsidR="00AA4379" w:rsidRDefault="00AA4379" w:rsidP="008A3C15">
      <w:r>
        <w:t>Assistance or r</w:t>
      </w:r>
      <w:r w:rsidRPr="001F77B3">
        <w:t>epresentation</w:t>
      </w:r>
      <w:r>
        <w:t xml:space="preserve"> in these cases</w:t>
      </w:r>
      <w:r w:rsidRPr="001F77B3">
        <w:t xml:space="preserve"> </w:t>
      </w:r>
      <w:r>
        <w:t>can include</w:t>
      </w:r>
      <w:r w:rsidRPr="001F77B3">
        <w:t xml:space="preserve"> reviewing records, interviewing and developing a relationship with the consumer, attending meetings</w:t>
      </w:r>
      <w:r>
        <w:t>, negotiating through phone calls, drafting and filing documents for court, attending</w:t>
      </w:r>
      <w:r w:rsidRPr="001F77B3">
        <w:t xml:space="preserve"> court dates, </w:t>
      </w:r>
      <w:r>
        <w:t xml:space="preserve">special education advocacy, </w:t>
      </w:r>
      <w:r w:rsidRPr="001F77B3">
        <w:t>and continuous advocacy for movement back to the community.</w:t>
      </w:r>
      <w:r>
        <w:t xml:space="preserve">  One example of advocacy where several entities worked together to achieve community integration for a consumer is highlighted:</w:t>
      </w:r>
    </w:p>
    <w:p w14:paraId="2FCE0F62" w14:textId="77777777" w:rsidR="008A3C15" w:rsidRPr="00614600" w:rsidRDefault="008A3C15" w:rsidP="008A3C15">
      <w:pPr>
        <w:pStyle w:val="NoSpacing"/>
        <w:spacing w:after="160" w:line="259" w:lineRule="auto"/>
        <w:rPr>
          <w:rFonts w:ascii="Arial" w:hAnsi="Arial" w:cs="Arial"/>
          <w:b/>
          <w:i/>
          <w:sz w:val="28"/>
          <w:szCs w:val="28"/>
        </w:rPr>
      </w:pPr>
      <w:bookmarkStart w:id="13" w:name="_Toc428549014"/>
      <w:r w:rsidRPr="00614600">
        <w:rPr>
          <w:rFonts w:ascii="Arial" w:hAnsi="Arial" w:cs="Arial"/>
          <w:b/>
          <w:i/>
          <w:sz w:val="28"/>
          <w:szCs w:val="28"/>
          <w:u w:val="single"/>
        </w:rPr>
        <w:t xml:space="preserve">A Determined Team Helps M.V. Move </w:t>
      </w:r>
      <w:r>
        <w:rPr>
          <w:rFonts w:ascii="Arial" w:hAnsi="Arial" w:cs="Arial"/>
          <w:b/>
          <w:i/>
          <w:sz w:val="28"/>
          <w:szCs w:val="28"/>
          <w:u w:val="single"/>
        </w:rPr>
        <w:t>In</w:t>
      </w:r>
      <w:r w:rsidRPr="00614600">
        <w:rPr>
          <w:rFonts w:ascii="Arial" w:hAnsi="Arial" w:cs="Arial"/>
          <w:b/>
          <w:i/>
          <w:sz w:val="28"/>
          <w:szCs w:val="28"/>
          <w:u w:val="single"/>
        </w:rPr>
        <w:t>to the Community.</w:t>
      </w:r>
    </w:p>
    <w:p w14:paraId="0F30E059" w14:textId="79A4CA8F" w:rsidR="008A3C15" w:rsidRPr="00BE05B1" w:rsidRDefault="008A3C15" w:rsidP="008A3C15">
      <w:pPr>
        <w:pStyle w:val="NoSpacing"/>
        <w:spacing w:after="160" w:line="259" w:lineRule="auto"/>
        <w:rPr>
          <w:rFonts w:ascii="Arial" w:hAnsi="Arial" w:cs="Arial"/>
          <w:sz w:val="28"/>
          <w:szCs w:val="28"/>
        </w:rPr>
      </w:pPr>
      <w:r w:rsidRPr="00BE05B1">
        <w:rPr>
          <w:rFonts w:ascii="Arial" w:hAnsi="Arial" w:cs="Arial"/>
          <w:sz w:val="28"/>
          <w:szCs w:val="28"/>
        </w:rPr>
        <w:t>M.V. is an adult with cerebral palsy, a seizure disorder, intellectual disability and daily nursing needs.  Last year</w:t>
      </w:r>
      <w:r>
        <w:rPr>
          <w:rFonts w:ascii="Arial" w:hAnsi="Arial" w:cs="Arial"/>
          <w:sz w:val="28"/>
          <w:szCs w:val="28"/>
        </w:rPr>
        <w:t>, following an in</w:t>
      </w:r>
      <w:r w:rsidRPr="00BE05B1">
        <w:rPr>
          <w:rFonts w:ascii="Arial" w:hAnsi="Arial" w:cs="Arial"/>
          <w:sz w:val="28"/>
          <w:szCs w:val="28"/>
        </w:rPr>
        <w:t xml:space="preserve">patient stay in the </w:t>
      </w:r>
      <w:r w:rsidRPr="00BE05B1">
        <w:rPr>
          <w:rFonts w:ascii="Arial" w:hAnsi="Arial" w:cs="Arial"/>
          <w:sz w:val="28"/>
          <w:szCs w:val="28"/>
        </w:rPr>
        <w:lastRenderedPageBreak/>
        <w:t>psychiatric unit of a large university hospital</w:t>
      </w:r>
      <w:r>
        <w:rPr>
          <w:rFonts w:ascii="Arial" w:hAnsi="Arial" w:cs="Arial"/>
          <w:sz w:val="28"/>
          <w:szCs w:val="28"/>
        </w:rPr>
        <w:t>,</w:t>
      </w:r>
      <w:r w:rsidRPr="00BE05B1">
        <w:rPr>
          <w:rFonts w:ascii="Arial" w:hAnsi="Arial" w:cs="Arial"/>
          <w:sz w:val="28"/>
          <w:szCs w:val="28"/>
        </w:rPr>
        <w:t xml:space="preserve"> he was admitted to </w:t>
      </w:r>
      <w:r w:rsidR="000C78E6">
        <w:rPr>
          <w:rFonts w:ascii="Arial" w:hAnsi="Arial" w:cs="Arial"/>
          <w:sz w:val="28"/>
          <w:szCs w:val="28"/>
        </w:rPr>
        <w:t>an</w:t>
      </w:r>
      <w:r w:rsidR="005E1917">
        <w:rPr>
          <w:rFonts w:ascii="Arial" w:hAnsi="Arial" w:cs="Arial"/>
          <w:sz w:val="28"/>
          <w:szCs w:val="28"/>
        </w:rPr>
        <w:t xml:space="preserve"> Acute Crises Unit at </w:t>
      </w:r>
      <w:r w:rsidR="000C78E6">
        <w:rPr>
          <w:rFonts w:ascii="Arial" w:hAnsi="Arial" w:cs="Arial"/>
          <w:sz w:val="28"/>
          <w:szCs w:val="28"/>
        </w:rPr>
        <w:t xml:space="preserve">a </w:t>
      </w:r>
      <w:r w:rsidRPr="00BE05B1">
        <w:rPr>
          <w:rFonts w:ascii="Arial" w:hAnsi="Arial" w:cs="Arial"/>
          <w:sz w:val="28"/>
          <w:szCs w:val="28"/>
        </w:rPr>
        <w:t>Developmental Cen</w:t>
      </w:r>
      <w:r w:rsidR="000C78E6">
        <w:rPr>
          <w:rFonts w:ascii="Arial" w:hAnsi="Arial" w:cs="Arial"/>
          <w:sz w:val="28"/>
          <w:szCs w:val="28"/>
        </w:rPr>
        <w:t>ter (</w:t>
      </w:r>
      <w:r w:rsidR="005E1917">
        <w:rPr>
          <w:rFonts w:ascii="Arial" w:hAnsi="Arial" w:cs="Arial"/>
          <w:sz w:val="28"/>
          <w:szCs w:val="28"/>
        </w:rPr>
        <w:t>DC)</w:t>
      </w:r>
      <w:r w:rsidRPr="00BE05B1">
        <w:rPr>
          <w:rFonts w:ascii="Arial" w:hAnsi="Arial" w:cs="Arial"/>
          <w:sz w:val="28"/>
          <w:szCs w:val="28"/>
        </w:rPr>
        <w:t xml:space="preserve">. </w:t>
      </w:r>
      <w:r>
        <w:rPr>
          <w:rFonts w:ascii="Arial" w:hAnsi="Arial" w:cs="Arial"/>
          <w:sz w:val="28"/>
          <w:szCs w:val="28"/>
        </w:rPr>
        <w:t xml:space="preserve"> </w:t>
      </w:r>
      <w:r w:rsidR="00E34D59">
        <w:rPr>
          <w:rFonts w:ascii="Arial" w:hAnsi="Arial" w:cs="Arial"/>
          <w:sz w:val="28"/>
          <w:szCs w:val="28"/>
        </w:rPr>
        <w:t>M.V. had significant</w:t>
      </w:r>
      <w:r w:rsidRPr="00BE05B1">
        <w:rPr>
          <w:rFonts w:ascii="Arial" w:hAnsi="Arial" w:cs="Arial"/>
          <w:sz w:val="28"/>
          <w:szCs w:val="28"/>
        </w:rPr>
        <w:t xml:space="preserve"> behavior problems incl</w:t>
      </w:r>
      <w:r w:rsidR="00E34D59">
        <w:rPr>
          <w:rFonts w:ascii="Arial" w:hAnsi="Arial" w:cs="Arial"/>
          <w:sz w:val="28"/>
          <w:szCs w:val="28"/>
        </w:rPr>
        <w:t xml:space="preserve">uding aggression </w:t>
      </w:r>
      <w:r>
        <w:rPr>
          <w:rFonts w:ascii="Arial" w:hAnsi="Arial" w:cs="Arial"/>
          <w:sz w:val="28"/>
          <w:szCs w:val="28"/>
        </w:rPr>
        <w:t>causing injury</w:t>
      </w:r>
      <w:r w:rsidR="00E34D59">
        <w:rPr>
          <w:rFonts w:ascii="Arial" w:hAnsi="Arial" w:cs="Arial"/>
          <w:sz w:val="28"/>
          <w:szCs w:val="28"/>
        </w:rPr>
        <w:t xml:space="preserve"> to others</w:t>
      </w:r>
      <w:r>
        <w:rPr>
          <w:rFonts w:ascii="Arial" w:hAnsi="Arial" w:cs="Arial"/>
          <w:sz w:val="28"/>
          <w:szCs w:val="28"/>
        </w:rPr>
        <w:t>.  Once</w:t>
      </w:r>
      <w:r w:rsidRPr="00BE05B1">
        <w:rPr>
          <w:rFonts w:ascii="Arial" w:hAnsi="Arial" w:cs="Arial"/>
          <w:sz w:val="28"/>
          <w:szCs w:val="28"/>
        </w:rPr>
        <w:t xml:space="preserve"> notifi</w:t>
      </w:r>
      <w:r w:rsidR="000C78E6">
        <w:rPr>
          <w:rFonts w:ascii="Arial" w:hAnsi="Arial" w:cs="Arial"/>
          <w:sz w:val="28"/>
          <w:szCs w:val="28"/>
        </w:rPr>
        <w:t xml:space="preserve">ed of M.V.’s admission to the </w:t>
      </w:r>
      <w:r w:rsidR="005E1917">
        <w:rPr>
          <w:rFonts w:ascii="Arial" w:hAnsi="Arial" w:cs="Arial"/>
          <w:sz w:val="28"/>
          <w:szCs w:val="28"/>
        </w:rPr>
        <w:t>DC</w:t>
      </w:r>
      <w:r>
        <w:rPr>
          <w:rFonts w:ascii="Arial" w:hAnsi="Arial" w:cs="Arial"/>
          <w:sz w:val="28"/>
          <w:szCs w:val="28"/>
        </w:rPr>
        <w:t xml:space="preserve">, </w:t>
      </w:r>
      <w:r w:rsidRPr="00BE05B1">
        <w:rPr>
          <w:rFonts w:ascii="Arial" w:hAnsi="Arial" w:cs="Arial"/>
          <w:sz w:val="28"/>
          <w:szCs w:val="28"/>
        </w:rPr>
        <w:t xml:space="preserve">OCRA attended M.V.’s IPP meetings to help advocate for the supports he needed </w:t>
      </w:r>
      <w:r w:rsidR="000C78E6">
        <w:rPr>
          <w:rFonts w:ascii="Arial" w:hAnsi="Arial" w:cs="Arial"/>
          <w:sz w:val="28"/>
          <w:szCs w:val="28"/>
        </w:rPr>
        <w:t xml:space="preserve">while at the </w:t>
      </w:r>
      <w:r w:rsidR="005E1917">
        <w:rPr>
          <w:rFonts w:ascii="Arial" w:hAnsi="Arial" w:cs="Arial"/>
          <w:sz w:val="28"/>
          <w:szCs w:val="28"/>
        </w:rPr>
        <w:t>DC</w:t>
      </w:r>
      <w:r w:rsidRPr="00BE05B1">
        <w:rPr>
          <w:rFonts w:ascii="Arial" w:hAnsi="Arial" w:cs="Arial"/>
          <w:sz w:val="28"/>
          <w:szCs w:val="28"/>
        </w:rPr>
        <w:t xml:space="preserve"> and </w:t>
      </w:r>
      <w:r>
        <w:rPr>
          <w:rFonts w:ascii="Arial" w:hAnsi="Arial" w:cs="Arial"/>
          <w:sz w:val="28"/>
          <w:szCs w:val="28"/>
        </w:rPr>
        <w:t>later</w:t>
      </w:r>
      <w:r w:rsidRPr="00BE05B1">
        <w:rPr>
          <w:rFonts w:ascii="Arial" w:hAnsi="Arial" w:cs="Arial"/>
          <w:sz w:val="28"/>
          <w:szCs w:val="28"/>
        </w:rPr>
        <w:t xml:space="preserve"> in a community placement closer to his family.  </w:t>
      </w:r>
    </w:p>
    <w:p w14:paraId="611B5D38" w14:textId="56E9C25B" w:rsidR="008A3C15" w:rsidRPr="00BE05B1" w:rsidRDefault="008A3C15" w:rsidP="008A3C15">
      <w:pPr>
        <w:pStyle w:val="NoSpacing"/>
        <w:spacing w:after="160" w:line="259" w:lineRule="auto"/>
        <w:rPr>
          <w:rFonts w:ascii="Arial" w:hAnsi="Arial" w:cs="Arial"/>
          <w:sz w:val="28"/>
          <w:szCs w:val="28"/>
        </w:rPr>
      </w:pPr>
      <w:r w:rsidRPr="00BE05B1">
        <w:rPr>
          <w:rFonts w:ascii="Arial" w:hAnsi="Arial" w:cs="Arial"/>
          <w:sz w:val="28"/>
          <w:szCs w:val="28"/>
        </w:rPr>
        <w:t xml:space="preserve">M.V.’s treatment team </w:t>
      </w:r>
      <w:r w:rsidR="000C78E6">
        <w:rPr>
          <w:rFonts w:ascii="Arial" w:hAnsi="Arial" w:cs="Arial"/>
          <w:sz w:val="28"/>
          <w:szCs w:val="28"/>
        </w:rPr>
        <w:t xml:space="preserve">at the </w:t>
      </w:r>
      <w:r w:rsidR="005E1917">
        <w:rPr>
          <w:rFonts w:ascii="Arial" w:hAnsi="Arial" w:cs="Arial"/>
          <w:sz w:val="28"/>
          <w:szCs w:val="28"/>
        </w:rPr>
        <w:t xml:space="preserve">DC </w:t>
      </w:r>
      <w:r w:rsidRPr="00BE05B1">
        <w:rPr>
          <w:rFonts w:ascii="Arial" w:hAnsi="Arial" w:cs="Arial"/>
          <w:sz w:val="28"/>
          <w:szCs w:val="28"/>
        </w:rPr>
        <w:t>worked with him to decrease his aggressive behaviors.  In tracking his behaviors, staff learned that there was often an increase in these problematic behaviors when M.V. was</w:t>
      </w:r>
      <w:r>
        <w:rPr>
          <w:rFonts w:ascii="Arial" w:hAnsi="Arial" w:cs="Arial"/>
          <w:sz w:val="28"/>
          <w:szCs w:val="28"/>
        </w:rPr>
        <w:t xml:space="preserve"> sick</w:t>
      </w:r>
      <w:r w:rsidRPr="00BE05B1">
        <w:rPr>
          <w:rFonts w:ascii="Arial" w:hAnsi="Arial" w:cs="Arial"/>
          <w:sz w:val="28"/>
          <w:szCs w:val="28"/>
        </w:rPr>
        <w:t xml:space="preserve">.  </w:t>
      </w:r>
      <w:r w:rsidR="005E1917">
        <w:rPr>
          <w:rFonts w:ascii="Arial" w:hAnsi="Arial" w:cs="Arial"/>
          <w:sz w:val="28"/>
          <w:szCs w:val="28"/>
        </w:rPr>
        <w:t>DC</w:t>
      </w:r>
      <w:r w:rsidRPr="00BE05B1">
        <w:rPr>
          <w:rFonts w:ascii="Arial" w:hAnsi="Arial" w:cs="Arial"/>
          <w:sz w:val="28"/>
          <w:szCs w:val="28"/>
        </w:rPr>
        <w:t xml:space="preserve"> staff closely monitored M.V.’s medical condition and </w:t>
      </w:r>
      <w:r>
        <w:rPr>
          <w:rFonts w:ascii="Arial" w:hAnsi="Arial" w:cs="Arial"/>
          <w:sz w:val="28"/>
          <w:szCs w:val="28"/>
        </w:rPr>
        <w:t xml:space="preserve">made </w:t>
      </w:r>
      <w:r w:rsidRPr="00BE05B1">
        <w:rPr>
          <w:rFonts w:ascii="Arial" w:hAnsi="Arial" w:cs="Arial"/>
          <w:sz w:val="28"/>
          <w:szCs w:val="28"/>
        </w:rPr>
        <w:t xml:space="preserve">appropriate referrals to medical specialists in the community.  </w:t>
      </w:r>
    </w:p>
    <w:p w14:paraId="71D41198" w14:textId="78EBABF3" w:rsidR="008A3C15" w:rsidRPr="00BE05B1" w:rsidRDefault="008A3C15" w:rsidP="008A3C15">
      <w:pPr>
        <w:pStyle w:val="NoSpacing"/>
        <w:spacing w:after="160" w:line="259" w:lineRule="auto"/>
        <w:rPr>
          <w:rFonts w:ascii="Arial" w:hAnsi="Arial" w:cs="Arial"/>
          <w:sz w:val="28"/>
          <w:szCs w:val="28"/>
        </w:rPr>
      </w:pPr>
      <w:r>
        <w:rPr>
          <w:rFonts w:ascii="Arial" w:hAnsi="Arial" w:cs="Arial"/>
          <w:sz w:val="28"/>
          <w:szCs w:val="28"/>
        </w:rPr>
        <w:t xml:space="preserve">After M.V. made </w:t>
      </w:r>
      <w:r w:rsidRPr="00BE05B1">
        <w:rPr>
          <w:rFonts w:ascii="Arial" w:hAnsi="Arial" w:cs="Arial"/>
          <w:sz w:val="28"/>
          <w:szCs w:val="28"/>
        </w:rPr>
        <w:t xml:space="preserve">significant </w:t>
      </w:r>
      <w:r>
        <w:rPr>
          <w:rFonts w:ascii="Arial" w:hAnsi="Arial" w:cs="Arial"/>
          <w:sz w:val="28"/>
          <w:szCs w:val="28"/>
        </w:rPr>
        <w:t xml:space="preserve">progress, his </w:t>
      </w:r>
      <w:r w:rsidRPr="00BE05B1">
        <w:rPr>
          <w:rFonts w:ascii="Arial" w:hAnsi="Arial" w:cs="Arial"/>
          <w:sz w:val="28"/>
          <w:szCs w:val="28"/>
        </w:rPr>
        <w:t>IPP team recommended community placement</w:t>
      </w:r>
      <w:r>
        <w:rPr>
          <w:rFonts w:ascii="Arial" w:hAnsi="Arial" w:cs="Arial"/>
          <w:sz w:val="28"/>
          <w:szCs w:val="28"/>
        </w:rPr>
        <w:t>.  The r</w:t>
      </w:r>
      <w:r w:rsidRPr="00BE05B1">
        <w:rPr>
          <w:rFonts w:ascii="Arial" w:hAnsi="Arial" w:cs="Arial"/>
          <w:sz w:val="28"/>
          <w:szCs w:val="28"/>
        </w:rPr>
        <w:t xml:space="preserve">egional center identified and contracted with a vendor to develop a </w:t>
      </w:r>
      <w:r>
        <w:rPr>
          <w:rFonts w:ascii="Arial" w:hAnsi="Arial" w:cs="Arial"/>
          <w:sz w:val="28"/>
          <w:szCs w:val="28"/>
        </w:rPr>
        <w:t xml:space="preserve">specialized </w:t>
      </w:r>
      <w:r w:rsidRPr="00BE05B1">
        <w:rPr>
          <w:rFonts w:ascii="Arial" w:hAnsi="Arial" w:cs="Arial"/>
          <w:sz w:val="28"/>
          <w:szCs w:val="28"/>
        </w:rPr>
        <w:t xml:space="preserve">group home and provide services for M.V. in </w:t>
      </w:r>
      <w:r>
        <w:rPr>
          <w:rFonts w:ascii="Arial" w:hAnsi="Arial" w:cs="Arial"/>
          <w:sz w:val="28"/>
          <w:szCs w:val="28"/>
        </w:rPr>
        <w:t>the</w:t>
      </w:r>
      <w:r w:rsidRPr="00BE05B1">
        <w:rPr>
          <w:rFonts w:ascii="Arial" w:hAnsi="Arial" w:cs="Arial"/>
          <w:sz w:val="28"/>
          <w:szCs w:val="28"/>
        </w:rPr>
        <w:t xml:space="preserve"> community.  Group home staf</w:t>
      </w:r>
      <w:r>
        <w:rPr>
          <w:rFonts w:ascii="Arial" w:hAnsi="Arial" w:cs="Arial"/>
          <w:sz w:val="28"/>
          <w:szCs w:val="28"/>
        </w:rPr>
        <w:t>f met with M.V., attended several IPP meetings,</w:t>
      </w:r>
      <w:r w:rsidRPr="00BE05B1">
        <w:rPr>
          <w:rFonts w:ascii="Arial" w:hAnsi="Arial" w:cs="Arial"/>
          <w:sz w:val="28"/>
          <w:szCs w:val="28"/>
        </w:rPr>
        <w:t xml:space="preserve"> observed him in his programs</w:t>
      </w:r>
      <w:r>
        <w:rPr>
          <w:rFonts w:ascii="Arial" w:hAnsi="Arial" w:cs="Arial"/>
          <w:sz w:val="28"/>
          <w:szCs w:val="28"/>
        </w:rPr>
        <w:t>,</w:t>
      </w:r>
      <w:r w:rsidRPr="00BE05B1">
        <w:rPr>
          <w:rFonts w:ascii="Arial" w:hAnsi="Arial" w:cs="Arial"/>
          <w:sz w:val="28"/>
          <w:szCs w:val="28"/>
        </w:rPr>
        <w:t xml:space="preserve"> and </w:t>
      </w:r>
      <w:r>
        <w:rPr>
          <w:rFonts w:ascii="Arial" w:hAnsi="Arial" w:cs="Arial"/>
          <w:sz w:val="28"/>
          <w:szCs w:val="28"/>
        </w:rPr>
        <w:t>got</w:t>
      </w:r>
      <w:r w:rsidRPr="00BE05B1">
        <w:rPr>
          <w:rFonts w:ascii="Arial" w:hAnsi="Arial" w:cs="Arial"/>
          <w:sz w:val="28"/>
          <w:szCs w:val="28"/>
        </w:rPr>
        <w:t xml:space="preserve"> to know him.  </w:t>
      </w:r>
      <w:r>
        <w:rPr>
          <w:rFonts w:ascii="Arial" w:hAnsi="Arial" w:cs="Arial"/>
          <w:sz w:val="28"/>
          <w:szCs w:val="28"/>
        </w:rPr>
        <w:t xml:space="preserve">Although M.V.’s team set a date for him to move to his new group home, the renovations, licensing, DDS </w:t>
      </w:r>
      <w:r w:rsidR="00E34D59">
        <w:rPr>
          <w:rFonts w:ascii="Arial" w:hAnsi="Arial" w:cs="Arial"/>
          <w:sz w:val="28"/>
          <w:szCs w:val="28"/>
        </w:rPr>
        <w:t xml:space="preserve">health and welfare </w:t>
      </w:r>
      <w:r>
        <w:rPr>
          <w:rFonts w:ascii="Arial" w:hAnsi="Arial" w:cs="Arial"/>
          <w:sz w:val="28"/>
          <w:szCs w:val="28"/>
        </w:rPr>
        <w:t xml:space="preserve">exemption process and transition planning still needed to be finalized.  The </w:t>
      </w:r>
      <w:r w:rsidR="000C78E6">
        <w:rPr>
          <w:rFonts w:ascii="Arial" w:hAnsi="Arial" w:cs="Arial"/>
          <w:sz w:val="28"/>
          <w:szCs w:val="28"/>
        </w:rPr>
        <w:t xml:space="preserve">regional center, DDS, </w:t>
      </w:r>
      <w:r w:rsidR="00C66CEC">
        <w:rPr>
          <w:rFonts w:ascii="Arial" w:hAnsi="Arial" w:cs="Arial"/>
          <w:sz w:val="28"/>
          <w:szCs w:val="28"/>
        </w:rPr>
        <w:t>DC</w:t>
      </w:r>
      <w:r>
        <w:rPr>
          <w:rFonts w:ascii="Arial" w:hAnsi="Arial" w:cs="Arial"/>
          <w:sz w:val="28"/>
          <w:szCs w:val="28"/>
        </w:rPr>
        <w:t>, the vendor, Community C</w:t>
      </w:r>
      <w:r w:rsidR="000C78E6">
        <w:rPr>
          <w:rFonts w:ascii="Arial" w:hAnsi="Arial" w:cs="Arial"/>
          <w:sz w:val="28"/>
          <w:szCs w:val="28"/>
        </w:rPr>
        <w:t>are Licensing, and the local housing c</w:t>
      </w:r>
      <w:r>
        <w:rPr>
          <w:rFonts w:ascii="Arial" w:hAnsi="Arial" w:cs="Arial"/>
          <w:sz w:val="28"/>
          <w:szCs w:val="28"/>
        </w:rPr>
        <w:t xml:space="preserve">orporation all collaborated to get M.V.’s new group home and supports ready by his move-in date.  </w:t>
      </w:r>
    </w:p>
    <w:p w14:paraId="6FB3F5C4" w14:textId="77777777" w:rsidR="008A3C15" w:rsidRDefault="008A3C15" w:rsidP="008A3C15">
      <w:pPr>
        <w:pStyle w:val="NoSpacing"/>
        <w:spacing w:after="160" w:line="259" w:lineRule="auto"/>
        <w:rPr>
          <w:rFonts w:ascii="Arial" w:hAnsi="Arial" w:cs="Arial"/>
          <w:sz w:val="28"/>
          <w:szCs w:val="28"/>
        </w:rPr>
      </w:pPr>
      <w:r w:rsidRPr="00BE05B1">
        <w:rPr>
          <w:rFonts w:ascii="Arial" w:hAnsi="Arial" w:cs="Arial"/>
          <w:sz w:val="28"/>
          <w:szCs w:val="28"/>
        </w:rPr>
        <w:t>In October 2015,</w:t>
      </w:r>
      <w:r>
        <w:rPr>
          <w:rFonts w:ascii="Arial" w:hAnsi="Arial" w:cs="Arial"/>
          <w:sz w:val="28"/>
          <w:szCs w:val="28"/>
        </w:rPr>
        <w:t xml:space="preserve"> M.V. finally moved </w:t>
      </w:r>
      <w:r w:rsidRPr="00BE05B1">
        <w:rPr>
          <w:rFonts w:ascii="Arial" w:hAnsi="Arial" w:cs="Arial"/>
          <w:sz w:val="28"/>
          <w:szCs w:val="28"/>
        </w:rPr>
        <w:t>to his group home</w:t>
      </w:r>
      <w:r>
        <w:rPr>
          <w:rFonts w:ascii="Arial" w:hAnsi="Arial" w:cs="Arial"/>
          <w:sz w:val="28"/>
          <w:szCs w:val="28"/>
        </w:rPr>
        <w:t xml:space="preserve"> in the community</w:t>
      </w:r>
      <w:r w:rsidRPr="00BE05B1">
        <w:rPr>
          <w:rFonts w:ascii="Arial" w:hAnsi="Arial" w:cs="Arial"/>
          <w:sz w:val="28"/>
          <w:szCs w:val="28"/>
        </w:rPr>
        <w:t xml:space="preserve"> and began attending a public school special education program.  To care for his daily nursing needs</w:t>
      </w:r>
      <w:r>
        <w:rPr>
          <w:rFonts w:ascii="Arial" w:hAnsi="Arial" w:cs="Arial"/>
          <w:sz w:val="28"/>
          <w:szCs w:val="28"/>
        </w:rPr>
        <w:t>,</w:t>
      </w:r>
      <w:r w:rsidRPr="00BE05B1">
        <w:rPr>
          <w:rFonts w:ascii="Arial" w:hAnsi="Arial" w:cs="Arial"/>
          <w:sz w:val="28"/>
          <w:szCs w:val="28"/>
        </w:rPr>
        <w:t xml:space="preserve"> the regional center contracted with a nursing agency in the community.</w:t>
      </w:r>
      <w:r>
        <w:rPr>
          <w:rFonts w:ascii="Arial" w:hAnsi="Arial" w:cs="Arial"/>
          <w:sz w:val="28"/>
          <w:szCs w:val="28"/>
        </w:rPr>
        <w:t xml:space="preserve">  At a recent visit, M.V.</w:t>
      </w:r>
      <w:r w:rsidRPr="00BE05B1">
        <w:rPr>
          <w:rFonts w:ascii="Arial" w:hAnsi="Arial" w:cs="Arial"/>
          <w:sz w:val="28"/>
          <w:szCs w:val="28"/>
        </w:rPr>
        <w:t xml:space="preserve"> proudly </w:t>
      </w:r>
      <w:r>
        <w:rPr>
          <w:rFonts w:ascii="Arial" w:hAnsi="Arial" w:cs="Arial"/>
          <w:sz w:val="28"/>
          <w:szCs w:val="28"/>
        </w:rPr>
        <w:t>gave</w:t>
      </w:r>
      <w:r w:rsidRPr="00BE05B1">
        <w:rPr>
          <w:rFonts w:ascii="Arial" w:hAnsi="Arial" w:cs="Arial"/>
          <w:sz w:val="28"/>
          <w:szCs w:val="28"/>
        </w:rPr>
        <w:t xml:space="preserve"> OCRA </w:t>
      </w:r>
      <w:r>
        <w:rPr>
          <w:rFonts w:ascii="Arial" w:hAnsi="Arial" w:cs="Arial"/>
          <w:sz w:val="28"/>
          <w:szCs w:val="28"/>
        </w:rPr>
        <w:t>staff a tour of</w:t>
      </w:r>
      <w:r w:rsidRPr="00BE05B1">
        <w:rPr>
          <w:rFonts w:ascii="Arial" w:hAnsi="Arial" w:cs="Arial"/>
          <w:sz w:val="28"/>
          <w:szCs w:val="28"/>
        </w:rPr>
        <w:t xml:space="preserve"> his home</w:t>
      </w:r>
      <w:r>
        <w:rPr>
          <w:rFonts w:ascii="Arial" w:hAnsi="Arial" w:cs="Arial"/>
          <w:sz w:val="28"/>
          <w:szCs w:val="28"/>
        </w:rPr>
        <w:t>,</w:t>
      </w:r>
      <w:r w:rsidRPr="00BE05B1">
        <w:rPr>
          <w:rFonts w:ascii="Arial" w:hAnsi="Arial" w:cs="Arial"/>
          <w:sz w:val="28"/>
          <w:szCs w:val="28"/>
        </w:rPr>
        <w:t xml:space="preserve"> showing off his bedroom and chalk drawings outside the home.  </w:t>
      </w:r>
      <w:r>
        <w:rPr>
          <w:rFonts w:ascii="Arial" w:hAnsi="Arial" w:cs="Arial"/>
          <w:sz w:val="28"/>
          <w:szCs w:val="28"/>
        </w:rPr>
        <w:t xml:space="preserve">M.V.’s communication skills are improving daily through the use of sign language and a communication board.  M.V. </w:t>
      </w:r>
      <w:r w:rsidRPr="00BE05B1">
        <w:rPr>
          <w:rFonts w:ascii="Arial" w:hAnsi="Arial" w:cs="Arial"/>
          <w:sz w:val="28"/>
          <w:szCs w:val="28"/>
        </w:rPr>
        <w:t xml:space="preserve">enjoys </w:t>
      </w:r>
      <w:r>
        <w:rPr>
          <w:rFonts w:ascii="Arial" w:hAnsi="Arial" w:cs="Arial"/>
          <w:sz w:val="28"/>
          <w:szCs w:val="28"/>
        </w:rPr>
        <w:t xml:space="preserve">taking </w:t>
      </w:r>
      <w:r w:rsidRPr="00BE05B1">
        <w:rPr>
          <w:rFonts w:ascii="Arial" w:hAnsi="Arial" w:cs="Arial"/>
          <w:sz w:val="28"/>
          <w:szCs w:val="28"/>
        </w:rPr>
        <w:t>walk</w:t>
      </w:r>
      <w:r>
        <w:rPr>
          <w:rFonts w:ascii="Arial" w:hAnsi="Arial" w:cs="Arial"/>
          <w:sz w:val="28"/>
          <w:szCs w:val="28"/>
        </w:rPr>
        <w:t>s</w:t>
      </w:r>
      <w:r w:rsidRPr="00BE05B1">
        <w:rPr>
          <w:rFonts w:ascii="Arial" w:hAnsi="Arial" w:cs="Arial"/>
          <w:sz w:val="28"/>
          <w:szCs w:val="28"/>
        </w:rPr>
        <w:t xml:space="preserve">, playing soccer, </w:t>
      </w:r>
      <w:r>
        <w:rPr>
          <w:rFonts w:ascii="Arial" w:hAnsi="Arial" w:cs="Arial"/>
          <w:sz w:val="28"/>
          <w:szCs w:val="28"/>
        </w:rPr>
        <w:t xml:space="preserve">going on </w:t>
      </w:r>
      <w:r w:rsidRPr="00BE05B1">
        <w:rPr>
          <w:rFonts w:ascii="Arial" w:hAnsi="Arial" w:cs="Arial"/>
          <w:sz w:val="28"/>
          <w:szCs w:val="28"/>
        </w:rPr>
        <w:t xml:space="preserve">van rides in the community and stopping by local fast food restaurants for a soft drink.  M.V. </w:t>
      </w:r>
      <w:r>
        <w:rPr>
          <w:rFonts w:ascii="Arial" w:hAnsi="Arial" w:cs="Arial"/>
          <w:sz w:val="28"/>
          <w:szCs w:val="28"/>
        </w:rPr>
        <w:t xml:space="preserve">often displays his great sense of humor.  He </w:t>
      </w:r>
      <w:r w:rsidRPr="00BE05B1">
        <w:rPr>
          <w:rFonts w:ascii="Arial" w:hAnsi="Arial" w:cs="Arial"/>
          <w:sz w:val="28"/>
          <w:szCs w:val="28"/>
        </w:rPr>
        <w:t xml:space="preserve">loves to </w:t>
      </w:r>
      <w:r>
        <w:rPr>
          <w:rFonts w:ascii="Arial" w:hAnsi="Arial" w:cs="Arial"/>
          <w:sz w:val="28"/>
          <w:szCs w:val="28"/>
        </w:rPr>
        <w:t>listen to music</w:t>
      </w:r>
      <w:r w:rsidRPr="00BE05B1">
        <w:rPr>
          <w:rFonts w:ascii="Arial" w:hAnsi="Arial" w:cs="Arial"/>
          <w:sz w:val="28"/>
          <w:szCs w:val="28"/>
        </w:rPr>
        <w:t xml:space="preserve"> </w:t>
      </w:r>
      <w:r>
        <w:rPr>
          <w:rFonts w:ascii="Arial" w:hAnsi="Arial" w:cs="Arial"/>
          <w:sz w:val="28"/>
          <w:szCs w:val="28"/>
        </w:rPr>
        <w:t>on t</w:t>
      </w:r>
      <w:r w:rsidRPr="00BE05B1">
        <w:rPr>
          <w:rFonts w:ascii="Arial" w:hAnsi="Arial" w:cs="Arial"/>
          <w:sz w:val="28"/>
          <w:szCs w:val="28"/>
        </w:rPr>
        <w:t xml:space="preserve">he </w:t>
      </w:r>
      <w:r w:rsidR="00E34D59">
        <w:rPr>
          <w:rFonts w:ascii="Arial" w:hAnsi="Arial" w:cs="Arial"/>
          <w:sz w:val="28"/>
          <w:szCs w:val="28"/>
        </w:rPr>
        <w:t xml:space="preserve">homes </w:t>
      </w:r>
      <w:r w:rsidRPr="00BE05B1">
        <w:rPr>
          <w:rFonts w:ascii="Arial" w:hAnsi="Arial" w:cs="Arial"/>
          <w:sz w:val="28"/>
          <w:szCs w:val="28"/>
        </w:rPr>
        <w:t>van radio</w:t>
      </w:r>
      <w:r>
        <w:rPr>
          <w:rFonts w:ascii="Arial" w:hAnsi="Arial" w:cs="Arial"/>
          <w:sz w:val="28"/>
          <w:szCs w:val="28"/>
        </w:rPr>
        <w:t xml:space="preserve"> </w:t>
      </w:r>
      <w:r w:rsidRPr="00BE05B1">
        <w:rPr>
          <w:rFonts w:ascii="Arial" w:hAnsi="Arial" w:cs="Arial"/>
          <w:sz w:val="28"/>
          <w:szCs w:val="28"/>
        </w:rPr>
        <w:t>and will tease staff by changing the radio station</w:t>
      </w:r>
      <w:r>
        <w:rPr>
          <w:rFonts w:ascii="Arial" w:hAnsi="Arial" w:cs="Arial"/>
          <w:sz w:val="28"/>
          <w:szCs w:val="28"/>
        </w:rPr>
        <w:t>s</w:t>
      </w:r>
      <w:r w:rsidRPr="00BE05B1">
        <w:rPr>
          <w:rFonts w:ascii="Arial" w:hAnsi="Arial" w:cs="Arial"/>
          <w:sz w:val="28"/>
          <w:szCs w:val="28"/>
        </w:rPr>
        <w:t xml:space="preserve">.  </w:t>
      </w:r>
    </w:p>
    <w:p w14:paraId="65E862A7" w14:textId="77777777" w:rsidR="002E2352" w:rsidRPr="00CC29EC" w:rsidRDefault="00CC29EC" w:rsidP="008A3C15">
      <w:pPr>
        <w:pStyle w:val="Heading3"/>
        <w:spacing w:before="0" w:after="160" w:line="259" w:lineRule="auto"/>
      </w:pPr>
      <w:bookmarkStart w:id="14" w:name="_Toc441673591"/>
      <w:r w:rsidRPr="00CC29EC">
        <w:t>4) Outreach/Training</w:t>
      </w:r>
      <w:r w:rsidR="002E2352" w:rsidRPr="00CC29EC">
        <w:t>.</w:t>
      </w:r>
      <w:bookmarkEnd w:id="13"/>
      <w:bookmarkEnd w:id="14"/>
      <w:r w:rsidR="002E2352" w:rsidRPr="00CC29EC">
        <w:t xml:space="preserve"> </w:t>
      </w:r>
    </w:p>
    <w:p w14:paraId="1F1D83A7" w14:textId="77777777" w:rsidR="00CC29EC" w:rsidRPr="00CC29EC" w:rsidRDefault="002E2352" w:rsidP="00645932">
      <w:r w:rsidRPr="00CC29EC">
        <w:t xml:space="preserve">Outreach and Training serve two important purposes: 1) notifying people about the availability of OCRA assistance and 2) educating people about </w:t>
      </w:r>
      <w:r w:rsidRPr="00CC29EC">
        <w:lastRenderedPageBreak/>
        <w:t xml:space="preserve">their rights. </w:t>
      </w:r>
      <w:r w:rsidR="00414FD4" w:rsidRPr="00CC29EC">
        <w:t xml:space="preserve"> </w:t>
      </w:r>
      <w:r w:rsidRPr="00CC29EC">
        <w:t xml:space="preserve">OCRA provides training on numerous issues to a wide variety of people. </w:t>
      </w:r>
      <w:r w:rsidR="00414FD4" w:rsidRPr="00CC29EC">
        <w:t xml:space="preserve"> </w:t>
      </w:r>
      <w:r w:rsidRPr="00CC29EC">
        <w:t xml:space="preserve">Training audiences include direct consumers, family members, regional center staff and vendors, and community members. </w:t>
      </w:r>
      <w:r w:rsidR="00414FD4" w:rsidRPr="00CC29EC">
        <w:t xml:space="preserve"> </w:t>
      </w:r>
      <w:r w:rsidRPr="00CC29EC">
        <w:t>These trainings</w:t>
      </w:r>
      <w:r w:rsidR="00CC29EC" w:rsidRPr="00CC29EC">
        <w:t xml:space="preserve"> include but are not limited to: consumers’ rights; abuse and neglect issues; IHSS;</w:t>
      </w:r>
      <w:r w:rsidRPr="00CC29EC">
        <w:t xml:space="preserve"> </w:t>
      </w:r>
      <w:proofErr w:type="spellStart"/>
      <w:r w:rsidR="00CC29EC" w:rsidRPr="00CC29EC">
        <w:t>Medi</w:t>
      </w:r>
      <w:proofErr w:type="spellEnd"/>
      <w:r w:rsidR="00CC29EC" w:rsidRPr="00CC29EC">
        <w:t>-Cal;</w:t>
      </w:r>
      <w:r w:rsidR="00C83DC2" w:rsidRPr="00CC29EC">
        <w:t xml:space="preserve"> </w:t>
      </w:r>
      <w:r w:rsidR="00CC29EC" w:rsidRPr="00CC29EC">
        <w:t>special education; voting rights; SSI; rights in the community;</w:t>
      </w:r>
      <w:r w:rsidRPr="00CC29EC">
        <w:t xml:space="preserve"> and alternative</w:t>
      </w:r>
      <w:r w:rsidR="00CC29EC" w:rsidRPr="00CC29EC">
        <w:t>s to conservatorships.</w:t>
      </w:r>
    </w:p>
    <w:p w14:paraId="4A504F1F" w14:textId="77777777" w:rsidR="00C66CEC" w:rsidRDefault="002E2352" w:rsidP="00645932">
      <w:r w:rsidRPr="00CC29EC">
        <w:t>During the last fi</w:t>
      </w:r>
      <w:r w:rsidR="00414FD4" w:rsidRPr="00CC29EC">
        <w:t xml:space="preserve">scal year, OCRA presented at </w:t>
      </w:r>
      <w:r w:rsidR="00CC29EC" w:rsidRPr="00CC29EC">
        <w:t>178</w:t>
      </w:r>
      <w:r w:rsidRPr="00CC29EC">
        <w:t xml:space="preserve"> trainings with a total at</w:t>
      </w:r>
      <w:r w:rsidR="00414FD4" w:rsidRPr="00CC29EC">
        <w:t xml:space="preserve">tendance of approximately </w:t>
      </w:r>
      <w:r w:rsidR="00CC29EC" w:rsidRPr="00CC29EC">
        <w:t>6,840</w:t>
      </w:r>
      <w:r w:rsidRPr="00CC29EC">
        <w:t xml:space="preserve"> people at the various trainings. </w:t>
      </w:r>
      <w:r w:rsidR="00414FD4" w:rsidRPr="00CC29EC">
        <w:t xml:space="preserve"> </w:t>
      </w:r>
      <w:r w:rsidR="00CC29EC">
        <w:t>This is a slight decrease from last year’s semi-annual report.  As noted in the outreach and training report at Exhibit D, the slight decrease could be because OCRA</w:t>
      </w:r>
      <w:r w:rsidR="00C66CEC">
        <w:t xml:space="preserve"> is trying to more accurately count the number of individuals we speak to </w:t>
      </w:r>
      <w:proofErr w:type="spellStart"/>
      <w:r w:rsidR="00C66CEC">
        <w:t>at</w:t>
      </w:r>
      <w:proofErr w:type="spellEnd"/>
      <w:r w:rsidR="00C66CEC">
        <w:t xml:space="preserve"> large </w:t>
      </w:r>
      <w:r w:rsidR="00E34D59">
        <w:t>events</w:t>
      </w:r>
      <w:r w:rsidR="00C66CEC">
        <w:t>.</w:t>
      </w:r>
    </w:p>
    <w:p w14:paraId="05F82D9C" w14:textId="77777777" w:rsidR="00AD030B" w:rsidRDefault="00CC29EC" w:rsidP="00645932">
      <w:r>
        <w:t xml:space="preserve">OCRA continues to have a Peer Advocate.  This is a person with a developmental disability who provides community trainings, coaching and advocacy to clients, and assists staff in developing consumer friendly trainings.  </w:t>
      </w:r>
      <w:r w:rsidR="00AD030B">
        <w:t>The Peer Advocate has also met with consumers in restrictive sett</w:t>
      </w:r>
      <w:r w:rsidR="00C66CEC">
        <w:t>ings in S</w:t>
      </w:r>
      <w:r w:rsidR="00AD030B">
        <w:t xml:space="preserve">outhern California to learn their wishes and discuss community integration options with them.  </w:t>
      </w:r>
      <w:r>
        <w:t xml:space="preserve">OCRA plans to </w:t>
      </w:r>
      <w:r w:rsidR="00E34D59">
        <w:t>hire another Peer Advocate for n</w:t>
      </w:r>
      <w:r>
        <w:t xml:space="preserve">orthern California to help develop new and innovative trainings. </w:t>
      </w:r>
    </w:p>
    <w:p w14:paraId="1CFA68E1" w14:textId="77777777" w:rsidR="00AD030B" w:rsidRDefault="002E2352" w:rsidP="00645932">
      <w:r w:rsidRPr="00CC29EC">
        <w:t>In order to provide assistance to individuals from traditionally underserved communities</w:t>
      </w:r>
      <w:r w:rsidR="00CC29EC" w:rsidRPr="00CC29EC">
        <w:t>,</w:t>
      </w:r>
      <w:r w:rsidRPr="00CC29EC">
        <w:t xml:space="preserve"> OCRA has developed target outreach plans. </w:t>
      </w:r>
      <w:r w:rsidR="00011975" w:rsidRPr="00CC29EC">
        <w:t xml:space="preserve"> </w:t>
      </w:r>
      <w:r w:rsidRPr="00CC29EC">
        <w:t>Each OCRA office target</w:t>
      </w:r>
      <w:r w:rsidR="00011975" w:rsidRPr="00CC29EC">
        <w:t>s</w:t>
      </w:r>
      <w:r w:rsidRPr="00CC29EC">
        <w:t xml:space="preserve"> at least three outreaches per year to a specific group of persons who are underrepresented in the office’s catchment area. </w:t>
      </w:r>
      <w:r w:rsidR="00011975" w:rsidRPr="00CC29EC">
        <w:t xml:space="preserve"> </w:t>
      </w:r>
      <w:r w:rsidR="002C249B" w:rsidRPr="00CC29EC">
        <w:t xml:space="preserve">Mary </w:t>
      </w:r>
      <w:proofErr w:type="spellStart"/>
      <w:r w:rsidR="002C249B" w:rsidRPr="00CC29EC">
        <w:t>Melendrez</w:t>
      </w:r>
      <w:proofErr w:type="spellEnd"/>
      <w:r w:rsidRPr="00CC29EC">
        <w:t xml:space="preserve"> and Christine Hager </w:t>
      </w:r>
      <w:r w:rsidR="00CC29EC" w:rsidRPr="00CC29EC">
        <w:t xml:space="preserve">continue to serve </w:t>
      </w:r>
      <w:r w:rsidRPr="00CC29EC">
        <w:t>as the Outreach Coordinators.</w:t>
      </w:r>
      <w:r w:rsidR="00011975" w:rsidRPr="00CC29EC">
        <w:t xml:space="preserve">  They</w:t>
      </w:r>
      <w:r w:rsidRPr="00CC29EC">
        <w:t xml:space="preserve"> advise staff in implementation of their target outreach plans. </w:t>
      </w:r>
      <w:r w:rsidR="00011975" w:rsidRPr="00CC29EC">
        <w:t xml:space="preserve"> </w:t>
      </w:r>
      <w:r w:rsidR="00011975" w:rsidRPr="00AD030B">
        <w:t>These are two-</w:t>
      </w:r>
      <w:r w:rsidRPr="00AD030B">
        <w:t>year plans based upon an evaluation of prior outreach plans’ results, new census data</w:t>
      </w:r>
      <w:r w:rsidR="00C66CEC">
        <w:t>, a review of regional center purchase of service data</w:t>
      </w:r>
      <w:r w:rsidRPr="00AD030B">
        <w:t xml:space="preserve"> and information from DDS regarding the ethnicity of consumers served by each regional center. </w:t>
      </w:r>
      <w:r w:rsidR="00011975" w:rsidRPr="00AD030B">
        <w:t xml:space="preserve"> </w:t>
      </w:r>
      <w:r w:rsidR="00AD030B" w:rsidRPr="00AD030B">
        <w:t xml:space="preserve">This semi-annual report covers the first six months of a new two-year outreach cycle.  </w:t>
      </w:r>
    </w:p>
    <w:p w14:paraId="4D9643D9" w14:textId="77777777" w:rsidR="002E2352" w:rsidRPr="002E2352" w:rsidRDefault="00FA0CC5" w:rsidP="00645932">
      <w:r w:rsidRPr="00AD030B">
        <w:t xml:space="preserve">Jackie Dai </w:t>
      </w:r>
      <w:r w:rsidR="00AD030B" w:rsidRPr="00AD030B">
        <w:t xml:space="preserve">continues to serve </w:t>
      </w:r>
      <w:r w:rsidRPr="00AD030B">
        <w:t>as</w:t>
      </w:r>
      <w:r w:rsidR="003A1C3E" w:rsidRPr="00AD030B">
        <w:t xml:space="preserve"> </w:t>
      </w:r>
      <w:r w:rsidR="00AD030B" w:rsidRPr="00AD030B">
        <w:t xml:space="preserve">the </w:t>
      </w:r>
      <w:r w:rsidRPr="00AD030B">
        <w:t>O</w:t>
      </w:r>
      <w:r w:rsidR="003A1C3E" w:rsidRPr="00AD030B">
        <w:t xml:space="preserve">utreach </w:t>
      </w:r>
      <w:r w:rsidRPr="00AD030B">
        <w:t>C</w:t>
      </w:r>
      <w:r w:rsidR="003A1C3E" w:rsidRPr="00AD030B">
        <w:t>oordinator for the Asian community in an effort to improve our serv</w:t>
      </w:r>
      <w:r w:rsidR="00AD030B" w:rsidRPr="00AD030B">
        <w:t>ice</w:t>
      </w:r>
      <w:r w:rsidR="00E34D59">
        <w:t>s</w:t>
      </w:r>
      <w:r w:rsidR="00AD030B" w:rsidRPr="00AD030B">
        <w:t xml:space="preserve"> to this community. </w:t>
      </w:r>
      <w:r w:rsidR="00C66CEC">
        <w:t xml:space="preserve"> She is </w:t>
      </w:r>
      <w:r w:rsidR="00AD030B">
        <w:t>organiz</w:t>
      </w:r>
      <w:r w:rsidR="00C66CEC">
        <w:t>ing</w:t>
      </w:r>
      <w:r w:rsidR="00AD030B">
        <w:t xml:space="preserve"> the participation of several OCRA offices in a statewide conference for Asian and Pacific Islander consumers with disabilities and their families.  Also, m</w:t>
      </w:r>
      <w:r w:rsidR="00AD030B" w:rsidRPr="00AD030B">
        <w:t xml:space="preserve">ore </w:t>
      </w:r>
      <w:r w:rsidR="00AD030B">
        <w:t xml:space="preserve">OCRA </w:t>
      </w:r>
      <w:r w:rsidR="003A1C3E" w:rsidRPr="00AD030B">
        <w:t xml:space="preserve">offices have identified the Asian </w:t>
      </w:r>
      <w:r w:rsidR="003A1C3E" w:rsidRPr="00AD030B">
        <w:lastRenderedPageBreak/>
        <w:t xml:space="preserve">community as their target for outreach.  </w:t>
      </w:r>
      <w:r w:rsidR="002C249B" w:rsidRPr="00AD030B">
        <w:t xml:space="preserve">A detailed report on </w:t>
      </w:r>
      <w:r w:rsidR="002E2352" w:rsidRPr="00AD030B">
        <w:t>outreach and training is included as Exhibit D.</w:t>
      </w:r>
      <w:r w:rsidR="002E2352" w:rsidRPr="002E2352">
        <w:t xml:space="preserve"> </w:t>
      </w:r>
    </w:p>
    <w:p w14:paraId="18B5B9F2" w14:textId="77777777" w:rsidR="002E2352" w:rsidRPr="00D57E48" w:rsidRDefault="002E2352" w:rsidP="00547681">
      <w:pPr>
        <w:pStyle w:val="Heading2"/>
        <w:numPr>
          <w:ilvl w:val="0"/>
          <w:numId w:val="2"/>
        </w:numPr>
      </w:pPr>
      <w:bookmarkStart w:id="15" w:name="_Toc428549015"/>
      <w:bookmarkStart w:id="16" w:name="_Toc441673592"/>
      <w:r w:rsidRPr="00D57E48">
        <w:t>Issues and complaints are resolved expeditiously and at the</w:t>
      </w:r>
      <w:r w:rsidR="00D57E48">
        <w:t xml:space="preserve"> </w:t>
      </w:r>
      <w:r w:rsidRPr="00D57E48">
        <w:t>lowest level of appropriate intervention.</w:t>
      </w:r>
      <w:bookmarkEnd w:id="15"/>
      <w:bookmarkEnd w:id="16"/>
      <w:r w:rsidRPr="00D57E48">
        <w:t xml:space="preserve"> </w:t>
      </w:r>
    </w:p>
    <w:p w14:paraId="0EAB31CA" w14:textId="77777777" w:rsidR="002E2352" w:rsidRPr="002E2352" w:rsidRDefault="00173BD6" w:rsidP="00645932">
      <w:r>
        <w:t>From July 1, 2015</w:t>
      </w:r>
      <w:r w:rsidR="00011975">
        <w:t xml:space="preserve">, through </w:t>
      </w:r>
      <w:r>
        <w:t>December 31</w:t>
      </w:r>
      <w:r w:rsidR="00011975">
        <w:t xml:space="preserve">, 2015, OCRA resolved </w:t>
      </w:r>
      <w:r>
        <w:t>5,120</w:t>
      </w:r>
      <w:r w:rsidR="002E2352" w:rsidRPr="002E2352">
        <w:t xml:space="preserve"> issues for consumers. </w:t>
      </w:r>
      <w:r w:rsidR="00011975">
        <w:t xml:space="preserve"> </w:t>
      </w:r>
      <w:r>
        <w:t>Of those, all but 9</w:t>
      </w:r>
      <w:r w:rsidR="002E2352" w:rsidRPr="002E2352">
        <w:t xml:space="preserve"> were resolved informally. </w:t>
      </w:r>
      <w:r w:rsidR="00011975">
        <w:t xml:space="preserve"> </w:t>
      </w:r>
      <w:r w:rsidR="000F462F" w:rsidRPr="000F462F">
        <w:t xml:space="preserve">More than 99 percent of all the matters that OCRA handled were resolved </w:t>
      </w:r>
      <w:r w:rsidR="000F462F">
        <w:t xml:space="preserve">without using </w:t>
      </w:r>
      <w:r w:rsidR="00E34D59">
        <w:t xml:space="preserve">administrative </w:t>
      </w:r>
      <w:r w:rsidR="000F462F">
        <w:t>hearings or court</w:t>
      </w:r>
      <w:r w:rsidR="00E34D59">
        <w:t xml:space="preserve"> proceedings</w:t>
      </w:r>
      <w:r w:rsidR="000F462F" w:rsidRPr="000F462F">
        <w:t xml:space="preserve">.  </w:t>
      </w:r>
      <w:r w:rsidR="002E2352" w:rsidRPr="002E2352">
        <w:t xml:space="preserve">Data showing this is attached as Exhibit E. </w:t>
      </w:r>
    </w:p>
    <w:p w14:paraId="58A1C0B0" w14:textId="77777777" w:rsidR="002E2352" w:rsidRPr="002E2352" w:rsidRDefault="002E2352" w:rsidP="00547681">
      <w:pPr>
        <w:pStyle w:val="Heading2"/>
        <w:numPr>
          <w:ilvl w:val="0"/>
          <w:numId w:val="2"/>
        </w:numPr>
      </w:pPr>
      <w:bookmarkStart w:id="17" w:name="_Toc428549016"/>
      <w:bookmarkStart w:id="18" w:name="_Toc441673593"/>
      <w:r w:rsidRPr="002E2352">
        <w:t>Collaborative and harmonious working relationships are</w:t>
      </w:r>
      <w:r w:rsidR="00D57E48">
        <w:t xml:space="preserve"> </w:t>
      </w:r>
      <w:r w:rsidRPr="002E2352">
        <w:t>fostered.</w:t>
      </w:r>
      <w:bookmarkEnd w:id="17"/>
      <w:bookmarkEnd w:id="18"/>
      <w:r w:rsidRPr="002E2352">
        <w:t xml:space="preserve"> </w:t>
      </w:r>
    </w:p>
    <w:p w14:paraId="506A0384" w14:textId="77777777" w:rsidR="00622F2E" w:rsidRDefault="002E2352" w:rsidP="00645932">
      <w:r w:rsidRPr="002E2352">
        <w:t xml:space="preserve">OCRA staff </w:t>
      </w:r>
      <w:r w:rsidR="000F5326">
        <w:t>continue to collaborate</w:t>
      </w:r>
      <w:r w:rsidR="00E34D59">
        <w:t xml:space="preserve"> with</w:t>
      </w:r>
      <w:r w:rsidRPr="002E2352">
        <w:t xml:space="preserve"> local regional centers, stakeholders, and community members. </w:t>
      </w:r>
      <w:r w:rsidR="000F5326">
        <w:t xml:space="preserve"> </w:t>
      </w:r>
      <w:r w:rsidR="000F462F">
        <w:t>Some examples of collaboration include serving on Behavioral Modification Review Committees, Risk Assessment Committees, County Coordinating Councils, Supported Life Training Planning Committees, county customer service and a</w:t>
      </w:r>
      <w:r w:rsidR="002C249B">
        <w:t xml:space="preserve">ppeals and hearings meetings, </w:t>
      </w:r>
      <w:r w:rsidR="007E6E2E">
        <w:t>D</w:t>
      </w:r>
      <w:r w:rsidR="002C249B">
        <w:t>DS</w:t>
      </w:r>
      <w:r w:rsidR="000F462F">
        <w:t xml:space="preserve"> Taskforce Implementa</w:t>
      </w:r>
      <w:r w:rsidR="002C249B">
        <w:t>tion Workgroup</w:t>
      </w:r>
      <w:r w:rsidR="000F462F">
        <w:t xml:space="preserve">, State Hearings Division Stakeholder meeting, Fiesta </w:t>
      </w:r>
      <w:proofErr w:type="spellStart"/>
      <w:r w:rsidR="000F462F">
        <w:t>Educativa</w:t>
      </w:r>
      <w:proofErr w:type="spellEnd"/>
      <w:r w:rsidR="000F462F">
        <w:t xml:space="preserve">, </w:t>
      </w:r>
      <w:r w:rsidR="00622F2E">
        <w:t xml:space="preserve">diversity committees, </w:t>
      </w:r>
      <w:r w:rsidR="000F462F">
        <w:t>and</w:t>
      </w:r>
      <w:r w:rsidR="002C249B">
        <w:t xml:space="preserve"> many others.  All CRAs are participating</w:t>
      </w:r>
      <w:r w:rsidR="000F462F">
        <w:t xml:space="preserve"> in </w:t>
      </w:r>
      <w:r w:rsidR="005E77A0">
        <w:t xml:space="preserve">meetings with </w:t>
      </w:r>
      <w:r w:rsidR="000F462F">
        <w:t>their regiona</w:t>
      </w:r>
      <w:r w:rsidR="002C249B">
        <w:t>l centers’ Self-Determination Program Local Advisory Committees</w:t>
      </w:r>
      <w:r w:rsidR="000F462F">
        <w:t>.  Some OCRA staff provide training to regional center staff.</w:t>
      </w:r>
      <w:r w:rsidR="007E6E2E">
        <w:t xml:space="preserve">  Some regional centers ask CRAs to train new vendors as part of their orientation and make meeting with OCRA a part of the new service coordinator orientation.</w:t>
      </w:r>
      <w:r w:rsidR="000F462F">
        <w:t xml:space="preserve">  </w:t>
      </w:r>
      <w:r w:rsidR="000F462F" w:rsidRPr="000F462F">
        <w:t xml:space="preserve">Many OCRA staff meet regularly with regional center staff and community partners to share ideas and expertise on many subjects.  </w:t>
      </w:r>
      <w:r w:rsidR="007E6E2E">
        <w:t xml:space="preserve">Many regional center staff have made OCRA their primary contact any time one of their clients has a legal issue.  </w:t>
      </w:r>
    </w:p>
    <w:p w14:paraId="0E15C828" w14:textId="77777777" w:rsidR="0069408C" w:rsidRPr="002E2352" w:rsidRDefault="000F462F" w:rsidP="00645932">
      <w:r>
        <w:t xml:space="preserve">This philosophy of collaboration is not only incorporated into Disability Rights California’s contract with DDS, but is also </w:t>
      </w:r>
      <w:r w:rsidR="007E6E2E">
        <w:t xml:space="preserve">a </w:t>
      </w:r>
      <w:r>
        <w:t>recognition that some of the most effective advocacy takes place because of interpersonal relationships and informal advocacy.  The success of this philosophy is demonstrated by the number of calls OCRA receives from varied sources, by its ability to resolve matters informally, and by its recognition as an excellent resource for people with developmental disabilities and their families.</w:t>
      </w:r>
    </w:p>
    <w:p w14:paraId="74AC5AE7" w14:textId="77777777" w:rsidR="002E2352" w:rsidRPr="002E2352" w:rsidRDefault="002E2352" w:rsidP="00FA3FB1">
      <w:pPr>
        <w:pStyle w:val="Heading3"/>
      </w:pPr>
      <w:bookmarkStart w:id="19" w:name="_Toc428549017"/>
      <w:bookmarkStart w:id="20" w:name="_Toc441673594"/>
      <w:r w:rsidRPr="002E2352">
        <w:lastRenderedPageBreak/>
        <w:t>1) Memorandums of Understanding.</w:t>
      </w:r>
      <w:bookmarkEnd w:id="19"/>
      <w:bookmarkEnd w:id="20"/>
      <w:r w:rsidRPr="002E2352">
        <w:t xml:space="preserve"> </w:t>
      </w:r>
    </w:p>
    <w:p w14:paraId="13284ED9" w14:textId="77777777" w:rsidR="002E2352" w:rsidRPr="00645932" w:rsidRDefault="002E2352" w:rsidP="002E2352">
      <w:pPr>
        <w:spacing w:after="0" w:line="240" w:lineRule="auto"/>
      </w:pPr>
      <w:r w:rsidRPr="00645932">
        <w:t>OCRA has established Memorandums of Understanding (MOUs) with eac</w:t>
      </w:r>
      <w:r w:rsidR="007E6E2E">
        <w:t>h regional center that address</w:t>
      </w:r>
      <w:r w:rsidRPr="00645932">
        <w:t xml:space="preserve"> that center’s individual needs, concerns, and method of operation. </w:t>
      </w:r>
      <w:r w:rsidR="0069408C" w:rsidRPr="00645932">
        <w:t xml:space="preserve"> </w:t>
      </w:r>
      <w:r w:rsidRPr="00645932">
        <w:t xml:space="preserve">Generally, MOUs are updated as needed. However, changes to the law </w:t>
      </w:r>
      <w:r w:rsidR="0069408C" w:rsidRPr="00645932">
        <w:t>mean that MOUs may be</w:t>
      </w:r>
      <w:r w:rsidRPr="00645932">
        <w:t xml:space="preserve"> reviewed and</w:t>
      </w:r>
      <w:r w:rsidRPr="002E2352">
        <w:t xml:space="preserve"> </w:t>
      </w:r>
      <w:r w:rsidRPr="00645932">
        <w:t xml:space="preserve">meetings held </w:t>
      </w:r>
      <w:r w:rsidR="0069408C" w:rsidRPr="00645932">
        <w:t>or</w:t>
      </w:r>
      <w:r w:rsidRPr="00645932">
        <w:t xml:space="preserve"> scheduled. </w:t>
      </w:r>
      <w:r w:rsidR="0069408C" w:rsidRPr="00645932">
        <w:t xml:space="preserve"> </w:t>
      </w:r>
      <w:r w:rsidRPr="00645932">
        <w:t xml:space="preserve">These meetings have been productive and positive. </w:t>
      </w:r>
      <w:r w:rsidR="0069408C" w:rsidRPr="00645932">
        <w:t xml:space="preserve"> </w:t>
      </w:r>
      <w:r w:rsidRPr="00645932">
        <w:t xml:space="preserve">OCRA has very good working relationships with many regional centers. </w:t>
      </w:r>
      <w:r w:rsidR="0069408C" w:rsidRPr="00645932">
        <w:t xml:space="preserve"> </w:t>
      </w:r>
      <w:r w:rsidRPr="00645932">
        <w:t xml:space="preserve">During </w:t>
      </w:r>
      <w:r w:rsidR="00622F2E">
        <w:t>this review period</w:t>
      </w:r>
      <w:r w:rsidR="0069408C" w:rsidRPr="00645932">
        <w:t>,</w:t>
      </w:r>
      <w:r w:rsidRPr="00645932">
        <w:t xml:space="preserve"> </w:t>
      </w:r>
      <w:r w:rsidR="00622F2E">
        <w:t>the MOU was updated with North Los Angeles County Regional Center</w:t>
      </w:r>
      <w:r w:rsidRPr="00645932">
        <w:t xml:space="preserve">. </w:t>
      </w:r>
      <w:r w:rsidR="00B04AFE" w:rsidRPr="00645932">
        <w:t xml:space="preserve"> </w:t>
      </w:r>
      <w:r w:rsidR="00622F2E">
        <w:t>OCRA has forwarded c</w:t>
      </w:r>
      <w:r w:rsidRPr="00645932">
        <w:t xml:space="preserve">opies of all MOUs to DDS. </w:t>
      </w:r>
      <w:r w:rsidR="00B04AFE" w:rsidRPr="00645932">
        <w:t xml:space="preserve"> </w:t>
      </w:r>
      <w:r w:rsidRPr="00645932">
        <w:t xml:space="preserve">The status of each revised MOU is listed in Exhibit F. </w:t>
      </w:r>
    </w:p>
    <w:p w14:paraId="0C65A949" w14:textId="77777777" w:rsidR="002E2352" w:rsidRPr="002E2352" w:rsidRDefault="002E2352" w:rsidP="002E566F">
      <w:pPr>
        <w:pStyle w:val="Heading3"/>
      </w:pPr>
      <w:bookmarkStart w:id="21" w:name="_Toc428549018"/>
      <w:bookmarkStart w:id="22" w:name="_Toc441673595"/>
      <w:r w:rsidRPr="002E2352">
        <w:t>2) Meeting with Association of Regional Center Agencies (ARCA).</w:t>
      </w:r>
      <w:bookmarkEnd w:id="21"/>
      <w:bookmarkEnd w:id="22"/>
      <w:r w:rsidRPr="002E2352">
        <w:t xml:space="preserve"> </w:t>
      </w:r>
    </w:p>
    <w:p w14:paraId="331C0FD1" w14:textId="77777777" w:rsidR="002E2352" w:rsidRPr="002E2352" w:rsidRDefault="003A1C3E" w:rsidP="00645932">
      <w:r>
        <w:t xml:space="preserve">ARCA </w:t>
      </w:r>
      <w:r w:rsidR="002C249B">
        <w:t>and OCRA meet regular</w:t>
      </w:r>
      <w:r>
        <w:t>ly to discuss various issue</w:t>
      </w:r>
      <w:r w:rsidR="00622F2E">
        <w:t>s</w:t>
      </w:r>
      <w:r>
        <w:t xml:space="preserve">.  To this end, </w:t>
      </w:r>
      <w:r w:rsidR="002E2352" w:rsidRPr="002E2352">
        <w:t xml:space="preserve">Katie Hornberger, </w:t>
      </w:r>
      <w:r w:rsidR="00B04AFE">
        <w:t>OCRA Director</w:t>
      </w:r>
      <w:r w:rsidR="002E2352" w:rsidRPr="002E2352">
        <w:t xml:space="preserve">, </w:t>
      </w:r>
      <w:r w:rsidR="00E34D59">
        <w:t>and DRC’s Executive Director, Catherine Blakemore</w:t>
      </w:r>
      <w:r>
        <w:t xml:space="preserve"> met with ARCA </w:t>
      </w:r>
      <w:r w:rsidR="00F60749">
        <w:t xml:space="preserve">one time during this review period, on </w:t>
      </w:r>
      <w:r w:rsidR="00F60749" w:rsidRPr="00F60749">
        <w:t>10/30/15.  We also serve on committees together and regularly phone and email each other.</w:t>
      </w:r>
      <w:r w:rsidR="00F60749">
        <w:t>  OCRA staff attended a conference put on by ARCA regarding fore</w:t>
      </w:r>
      <w:r w:rsidR="00E34D59">
        <w:t>nsic client issues.  We will participate</w:t>
      </w:r>
      <w:r w:rsidR="00F60749">
        <w:t xml:space="preserve"> on the ARCA Equity Committee</w:t>
      </w:r>
      <w:r w:rsidR="00E34D59">
        <w:t xml:space="preserve"> beginning in January 2016</w:t>
      </w:r>
      <w:r w:rsidR="00F60749">
        <w:t>.</w:t>
      </w:r>
      <w:r w:rsidR="00E34D59">
        <w:t xml:space="preserve">  We also co-trained with regional center staff about strategies to foster participation in stakeholder meetings regarding purchase of service disparity data.</w:t>
      </w:r>
    </w:p>
    <w:p w14:paraId="5697848A" w14:textId="77777777" w:rsidR="002E2352" w:rsidRPr="00D57E48" w:rsidRDefault="002E2352" w:rsidP="00D57E48">
      <w:pPr>
        <w:pStyle w:val="Heading2"/>
      </w:pPr>
      <w:bookmarkStart w:id="23" w:name="_Toc428549019"/>
      <w:bookmarkStart w:id="24" w:name="_Toc441673596"/>
      <w:r w:rsidRPr="00D57E48">
        <w:t>D. Consumers and families are satisfied with the services provided.</w:t>
      </w:r>
      <w:bookmarkEnd w:id="23"/>
      <w:bookmarkEnd w:id="24"/>
      <w:r w:rsidRPr="00D57E48">
        <w:t xml:space="preserve"> </w:t>
      </w:r>
    </w:p>
    <w:p w14:paraId="0DC48424" w14:textId="77777777" w:rsidR="002E2352" w:rsidRPr="002E2352" w:rsidRDefault="002E2352" w:rsidP="00645932">
      <w:r w:rsidRPr="002E2352">
        <w:t xml:space="preserve">Disability Rights California recognizes the importance of consumer satisfaction. </w:t>
      </w:r>
      <w:r w:rsidR="00B04AFE">
        <w:t xml:space="preserve"> </w:t>
      </w:r>
      <w:r w:rsidRPr="002E2352">
        <w:t xml:space="preserve">OCRA is committed to serving consumers and family members in a manner and with results that ensure consumer and family satisfaction with the services provided. </w:t>
      </w:r>
      <w:r w:rsidR="00B04AFE">
        <w:t xml:space="preserve"> </w:t>
      </w:r>
      <w:r w:rsidR="00757AE6">
        <w:t xml:space="preserve">Survey results show positive </w:t>
      </w:r>
      <w:r w:rsidRPr="002E2352">
        <w:t xml:space="preserve">consumer satisfaction over the past fiscal year. </w:t>
      </w:r>
    </w:p>
    <w:p w14:paraId="470E2308" w14:textId="77777777" w:rsidR="002E2352" w:rsidRPr="002E2352" w:rsidRDefault="002E2352" w:rsidP="002E566F">
      <w:pPr>
        <w:pStyle w:val="Heading3"/>
      </w:pPr>
      <w:bookmarkStart w:id="25" w:name="_Toc428549020"/>
      <w:bookmarkStart w:id="26" w:name="_Toc441673597"/>
      <w:r w:rsidRPr="002E2352">
        <w:t>1) Consumer Satisfaction Survey.</w:t>
      </w:r>
      <w:bookmarkEnd w:id="25"/>
      <w:bookmarkEnd w:id="26"/>
      <w:r w:rsidRPr="002E2352">
        <w:t xml:space="preserve"> </w:t>
      </w:r>
    </w:p>
    <w:p w14:paraId="0462CE77" w14:textId="77777777" w:rsidR="002E2352" w:rsidRPr="002E2352" w:rsidRDefault="002E2352" w:rsidP="00645932">
      <w:r w:rsidRPr="002E2352">
        <w:t>OCRA measures consumer satisfaction by use of a</w:t>
      </w:r>
      <w:r w:rsidR="001125DA">
        <w:t xml:space="preserve"> survey</w:t>
      </w:r>
      <w:r w:rsidRPr="002E2352">
        <w:t xml:space="preserve"> developed jointly by staff, the OCRA Consum</w:t>
      </w:r>
      <w:r w:rsidR="00342493">
        <w:t xml:space="preserve">er Advisory Committee, and DDS.  </w:t>
      </w:r>
      <w:r w:rsidR="00342493" w:rsidRPr="00342493">
        <w:t>Seven hundred and fifty-eight (758) surveys were mailed out.  One hundred and four (104) people returned the surveys.  This repres</w:t>
      </w:r>
      <w:r w:rsidR="00342493">
        <w:t>ents a 14 percent return rate, which is lower than previous review periods.  OCRA will consider sending more surveys in order to get a higher number back.</w:t>
      </w:r>
    </w:p>
    <w:p w14:paraId="5D975590" w14:textId="77777777" w:rsidR="002E2352" w:rsidRPr="002E2352" w:rsidRDefault="00342493" w:rsidP="00645932">
      <w:r>
        <w:lastRenderedPageBreak/>
        <w:t xml:space="preserve">Of those responding to the questions, 95 percent felt they were treated well by the staff.  90 percent believed their call was returned within two days, which is an increase compared to 88 percent from the last annual report.  94 percent of the respondents reported that they understood the information they received.  95 percent felt they were listened to.  89 percent of respondents felt they were helped with their question/problem, which is an increase from 88 percent last reported.  93 percent of respondents said they would ask their Clients’ Rights Advocate for help again, which shows an increase from the 91 percent in the last annual report.  </w:t>
      </w:r>
      <w:r w:rsidR="002E2352" w:rsidRPr="002E2352">
        <w:t xml:space="preserve">See Exhibit G, which discusses the results of OCRA’s survey. </w:t>
      </w:r>
    </w:p>
    <w:p w14:paraId="11BA6735" w14:textId="77777777" w:rsidR="0040557C" w:rsidRDefault="00757AE6" w:rsidP="00645932">
      <w:r>
        <w:t>A member of t</w:t>
      </w:r>
      <w:r w:rsidR="002E2352" w:rsidRPr="002E2352">
        <w:t>he OCRA management team call</w:t>
      </w:r>
      <w:r w:rsidR="00342493">
        <w:t>s</w:t>
      </w:r>
      <w:r w:rsidR="002E2352" w:rsidRPr="002E2352">
        <w:t xml:space="preserve"> back all responders who request a call back and those with any negative responses </w:t>
      </w:r>
      <w:r w:rsidR="00342493">
        <w:t>who</w:t>
      </w:r>
      <w:r w:rsidR="002E2352" w:rsidRPr="002E2352">
        <w:t xml:space="preserve"> supplied contact information. </w:t>
      </w:r>
      <w:r>
        <w:t xml:space="preserve"> </w:t>
      </w:r>
      <w:r w:rsidR="002E2352" w:rsidRPr="002E2352">
        <w:t>In this way</w:t>
      </w:r>
      <w:r>
        <w:t>,</w:t>
      </w:r>
      <w:r w:rsidR="002E2352" w:rsidRPr="002E2352">
        <w:t xml:space="preserve"> we are able to remedy any concerns and provide a</w:t>
      </w:r>
      <w:r w:rsidR="00342493">
        <w:t>dditional support to c</w:t>
      </w:r>
      <w:r w:rsidR="00C66CEC">
        <w:t>allers</w:t>
      </w:r>
      <w:r w:rsidR="00342493">
        <w:t xml:space="preserve">.  OCRA is pleased with the increases in positive responses to </w:t>
      </w:r>
      <w:r w:rsidR="00F1602A">
        <w:t xml:space="preserve">several questions on </w:t>
      </w:r>
      <w:r w:rsidR="00342493">
        <w:t>the survey, particularly the increase to 90% of respondents who indicated their call was returned within two days.  Most offices have fully implemented the use of an electronic</w:t>
      </w:r>
      <w:r>
        <w:t xml:space="preserve"> </w:t>
      </w:r>
      <w:r w:rsidR="009D6AD5">
        <w:t>phone call log,</w:t>
      </w:r>
      <w:r>
        <w:t xml:space="preserve"> which OCRA mana</w:t>
      </w:r>
      <w:r w:rsidR="00342493">
        <w:t>gers and other staff can access</w:t>
      </w:r>
      <w:r>
        <w:t xml:space="preserve">.  </w:t>
      </w:r>
      <w:r w:rsidR="00342493">
        <w:t>This type of call log helps ensure calls are logged and returned, and if staff are unexpectedly out of the office, another staff person can return those calls timely</w:t>
      </w:r>
      <w:r w:rsidRPr="00757AE6">
        <w:t xml:space="preserve">.  </w:t>
      </w:r>
      <w:r w:rsidR="004E5D55">
        <w:t xml:space="preserve">OCRA has hired a Bilingual ACRA for </w:t>
      </w:r>
      <w:r w:rsidR="00C66CEC">
        <w:t>both N</w:t>
      </w:r>
      <w:r w:rsidR="004E5D55">
        <w:t>orthern California</w:t>
      </w:r>
      <w:r w:rsidR="00C66CEC">
        <w:t xml:space="preserve"> and Southern California,</w:t>
      </w:r>
      <w:r w:rsidR="004E5D55">
        <w:t xml:space="preserve"> to help with Spanish callers</w:t>
      </w:r>
      <w:r w:rsidR="00C66CEC">
        <w:t xml:space="preserve">, </w:t>
      </w:r>
      <w:r w:rsidR="004E5D55">
        <w:t>high call volume offices</w:t>
      </w:r>
      <w:r w:rsidR="00C66CEC">
        <w:t>, and when staff are out</w:t>
      </w:r>
      <w:r w:rsidR="004E5D55">
        <w:t xml:space="preserve">.  </w:t>
      </w:r>
    </w:p>
    <w:p w14:paraId="37161354" w14:textId="77777777" w:rsidR="002E2352" w:rsidRPr="002E2352" w:rsidRDefault="002E2352" w:rsidP="002E566F">
      <w:pPr>
        <w:pStyle w:val="Heading3"/>
      </w:pPr>
      <w:bookmarkStart w:id="27" w:name="_Toc428549021"/>
      <w:bookmarkStart w:id="28" w:name="_Toc441673598"/>
      <w:r w:rsidRPr="002E2352">
        <w:t>2) Letters of Appreciation.</w:t>
      </w:r>
      <w:bookmarkEnd w:id="27"/>
      <w:bookmarkEnd w:id="28"/>
      <w:r w:rsidRPr="002E2352">
        <w:t xml:space="preserve"> </w:t>
      </w:r>
    </w:p>
    <w:p w14:paraId="64F04465" w14:textId="77777777" w:rsidR="00C11885" w:rsidRDefault="002E2352" w:rsidP="00645932">
      <w:r w:rsidRPr="002E2352">
        <w:t xml:space="preserve">OCRA consumers and family members often take the time to write letters of appreciation. </w:t>
      </w:r>
      <w:r w:rsidR="0040557C">
        <w:t xml:space="preserve"> </w:t>
      </w:r>
      <w:r w:rsidRPr="002E2352">
        <w:t>These</w:t>
      </w:r>
      <w:r w:rsidR="00F1602A">
        <w:t xml:space="preserve"> kind words and the time it takes</w:t>
      </w:r>
      <w:r w:rsidRPr="002E2352">
        <w:t xml:space="preserve"> to send them represent the high value of th</w:t>
      </w:r>
      <w:r w:rsidR="00757AE6">
        <w:t xml:space="preserve">e work performed by OCRA staff.  </w:t>
      </w:r>
      <w:r w:rsidRPr="002E2352">
        <w:t>Below is just a sampling</w:t>
      </w:r>
      <w:r w:rsidR="0040557C">
        <w:t xml:space="preserve"> of the many letters received.  </w:t>
      </w:r>
      <w:r w:rsidRPr="002E2352">
        <w:t xml:space="preserve">OCRA is providing the letters of appreciation with the wording from the originals, including any grammatical errors, unless otherwise indicated. </w:t>
      </w:r>
      <w:r w:rsidR="00757AE6">
        <w:t xml:space="preserve"> </w:t>
      </w:r>
      <w:r w:rsidR="00E34D59">
        <w:t>We have also redact</w:t>
      </w:r>
      <w:r w:rsidRPr="002E2352">
        <w:t xml:space="preserve">ed client names. </w:t>
      </w:r>
    </w:p>
    <w:p w14:paraId="707CD072" w14:textId="77777777" w:rsidR="00026250" w:rsidRDefault="00026250" w:rsidP="00645932"/>
    <w:p w14:paraId="7F55ABFB" w14:textId="77777777" w:rsidR="0026715C" w:rsidRDefault="0026715C" w:rsidP="0026715C">
      <w:pPr>
        <w:ind w:firstLine="720"/>
      </w:pPr>
      <w:r>
        <w:rPr>
          <w:noProof/>
        </w:rPr>
        <w:lastRenderedPageBreak/>
        <w:drawing>
          <wp:inline distT="0" distB="0" distL="0" distR="0" wp14:anchorId="110ABDC4" wp14:editId="170309BB">
            <wp:extent cx="3048000" cy="2560320"/>
            <wp:effectExtent l="0" t="0" r="0" b="0"/>
            <wp:docPr id="1" name="Picture 1" descr="Dear Ms. Katie Spieman:&#10;My name is ___.  I’m a newcomer to United States at last year.  I studied in Abraham Lincoln High School I felt stressful and nervous, because I don’t know English I can’t communicate with other people.     &#10;" title="Appreciation com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560320"/>
                    </a:xfrm>
                    <a:prstGeom prst="rect">
                      <a:avLst/>
                    </a:prstGeom>
                    <a:noFill/>
                  </pic:spPr>
                </pic:pic>
              </a:graphicData>
            </a:graphic>
          </wp:inline>
        </w:drawing>
      </w:r>
    </w:p>
    <w:p w14:paraId="14B3C515" w14:textId="77777777" w:rsidR="00656058" w:rsidRDefault="00656058" w:rsidP="0026715C">
      <w:pPr>
        <w:ind w:firstLine="720"/>
      </w:pPr>
      <w:r>
        <w:rPr>
          <w:noProof/>
        </w:rPr>
        <w:drawing>
          <wp:inline distT="0" distB="0" distL="0" distR="0" wp14:anchorId="0C435AAB" wp14:editId="0EFA072C">
            <wp:extent cx="2780030" cy="1225550"/>
            <wp:effectExtent l="0" t="0" r="1270" b="0"/>
            <wp:docPr id="9" name="Picture 9" descr="Now, I got the Cantonese-speaking paraprofessional aid.  I’m very happy and enjoy to learn English.  Thank you for your help.&#10;Best regards,&#10;" title="Appreciation comment 1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1225550"/>
                    </a:xfrm>
                    <a:prstGeom prst="rect">
                      <a:avLst/>
                    </a:prstGeom>
                    <a:noFill/>
                  </pic:spPr>
                </pic:pic>
              </a:graphicData>
            </a:graphic>
          </wp:inline>
        </w:drawing>
      </w:r>
    </w:p>
    <w:p w14:paraId="4F9C64B6" w14:textId="77777777" w:rsidR="00497E12" w:rsidRDefault="00497E12" w:rsidP="0026715C">
      <w:pPr>
        <w:spacing w:after="0" w:line="240" w:lineRule="auto"/>
        <w:ind w:left="720"/>
      </w:pPr>
    </w:p>
    <w:p w14:paraId="3DD068CB" w14:textId="77777777" w:rsidR="0026715C" w:rsidRDefault="0026715C" w:rsidP="000C78E6">
      <w:pPr>
        <w:spacing w:after="0" w:line="240" w:lineRule="auto"/>
      </w:pPr>
      <w:r>
        <w:t>Dear Ms. Katie Spie</w:t>
      </w:r>
      <w:r w:rsidR="00CB219D">
        <w:t>l</w:t>
      </w:r>
      <w:r>
        <w:t>man:</w:t>
      </w:r>
    </w:p>
    <w:p w14:paraId="7F5102F1" w14:textId="77777777" w:rsidR="00656058" w:rsidRDefault="00656058" w:rsidP="000C78E6">
      <w:pPr>
        <w:spacing w:after="0" w:line="240" w:lineRule="auto"/>
      </w:pPr>
      <w:r>
        <w:t>My name is ___</w:t>
      </w:r>
      <w:r w:rsidR="0026715C">
        <w:t>.  I’m a newcomer to United States at last year.  I studied in Abraham Lincoln High School I felt stressful and nervous, because I don’t know English I can’t communicate with other people.</w:t>
      </w:r>
    </w:p>
    <w:p w14:paraId="61EAD787" w14:textId="77777777" w:rsidR="0026715C" w:rsidRDefault="0026715C" w:rsidP="00656058">
      <w:pPr>
        <w:spacing w:after="0" w:line="240" w:lineRule="auto"/>
        <w:ind w:left="720"/>
      </w:pPr>
      <w:r>
        <w:rPr>
          <w:noProof/>
        </w:rPr>
        <w:t xml:space="preserve">      </w:t>
      </w:r>
    </w:p>
    <w:p w14:paraId="095B392D" w14:textId="77777777" w:rsidR="0026715C" w:rsidRDefault="0026715C" w:rsidP="000C78E6">
      <w:pPr>
        <w:spacing w:after="0" w:line="240" w:lineRule="auto"/>
      </w:pPr>
      <w:r>
        <w:t>Now, I got the Cantonese-speaking paraprofessional aid.  I’m very happy and enjoy to learn English.  Thank you for your help.</w:t>
      </w:r>
    </w:p>
    <w:p w14:paraId="0BAD32BE" w14:textId="77777777" w:rsidR="0026715C" w:rsidRDefault="0026715C" w:rsidP="000C78E6">
      <w:pPr>
        <w:spacing w:after="0" w:line="240" w:lineRule="auto"/>
      </w:pPr>
      <w:r>
        <w:t>Best regards,</w:t>
      </w:r>
    </w:p>
    <w:p w14:paraId="0E8049C4" w14:textId="77777777" w:rsidR="00497E12" w:rsidRDefault="00497E12" w:rsidP="0026715C">
      <w:pPr>
        <w:spacing w:after="0" w:line="240" w:lineRule="auto"/>
        <w:ind w:left="720"/>
      </w:pPr>
    </w:p>
    <w:p w14:paraId="6A9A9428" w14:textId="77777777" w:rsidR="0026715C" w:rsidRDefault="0026715C" w:rsidP="00645932">
      <w:r>
        <w:rPr>
          <w:noProof/>
        </w:rPr>
        <w:lastRenderedPageBreak/>
        <w:t xml:space="preserve">     </w:t>
      </w:r>
      <w:r w:rsidR="00180094">
        <w:rPr>
          <w:noProof/>
        </w:rPr>
        <w:t xml:space="preserve">     </w:t>
      </w:r>
      <w:r>
        <w:rPr>
          <w:noProof/>
        </w:rPr>
        <w:drawing>
          <wp:inline distT="0" distB="0" distL="0" distR="0" wp14:anchorId="28F1ED8A" wp14:editId="788E66DE">
            <wp:extent cx="2725000" cy="2650490"/>
            <wp:effectExtent l="0" t="0" r="0" b="0"/>
            <wp:docPr id="3" name="Picture 3" descr="Aimee,&#10;You are a true blessing to us.  I am ever so grate, for all you have done and taught me through this journey.  May the Lord abundantly bless you. Love,&#10;&#10;" title="Appreciation comment 2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2145" cy="2657439"/>
                    </a:xfrm>
                    <a:prstGeom prst="rect">
                      <a:avLst/>
                    </a:prstGeom>
                    <a:noFill/>
                  </pic:spPr>
                </pic:pic>
              </a:graphicData>
            </a:graphic>
          </wp:inline>
        </w:drawing>
      </w:r>
    </w:p>
    <w:p w14:paraId="4732A5F6" w14:textId="77777777" w:rsidR="0026715C" w:rsidRDefault="0026715C" w:rsidP="00645932">
      <w:r>
        <w:rPr>
          <w:noProof/>
        </w:rPr>
        <w:t xml:space="preserve">     </w:t>
      </w:r>
      <w:r w:rsidR="00180094">
        <w:rPr>
          <w:noProof/>
        </w:rPr>
        <w:t xml:space="preserve">     </w:t>
      </w:r>
      <w:r>
        <w:rPr>
          <w:noProof/>
        </w:rPr>
        <w:drawing>
          <wp:inline distT="0" distB="0" distL="0" distR="0" wp14:anchorId="03CC73DA" wp14:editId="55851A5B">
            <wp:extent cx="2199465" cy="712470"/>
            <wp:effectExtent l="0" t="0" r="0" b="0"/>
            <wp:docPr id="4" name="Picture 4" descr="bless you. Love," title="Appreciation comment 2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1940" cy="716511"/>
                    </a:xfrm>
                    <a:prstGeom prst="rect">
                      <a:avLst/>
                    </a:prstGeom>
                    <a:noFill/>
                  </pic:spPr>
                </pic:pic>
              </a:graphicData>
            </a:graphic>
          </wp:inline>
        </w:drawing>
      </w:r>
    </w:p>
    <w:p w14:paraId="7D15A9A0" w14:textId="77777777" w:rsidR="00656058" w:rsidRDefault="00656058" w:rsidP="000C78E6">
      <w:pPr>
        <w:spacing w:after="0" w:line="240" w:lineRule="auto"/>
      </w:pPr>
      <w:r>
        <w:t>Aimee,</w:t>
      </w:r>
    </w:p>
    <w:p w14:paraId="43196878" w14:textId="77777777" w:rsidR="00656058" w:rsidRDefault="00656058" w:rsidP="000C78E6">
      <w:pPr>
        <w:spacing w:after="0" w:line="240" w:lineRule="auto"/>
      </w:pPr>
      <w:r>
        <w:t xml:space="preserve">You are a true blessing to us.  I am ever so grate, for all you have done and taught me through this journey.  May the Lord abundantly bless </w:t>
      </w:r>
      <w:proofErr w:type="gramStart"/>
      <w:r>
        <w:t>you.</w:t>
      </w:r>
      <w:proofErr w:type="gramEnd"/>
      <w:r>
        <w:t xml:space="preserve"> Love,</w:t>
      </w:r>
    </w:p>
    <w:p w14:paraId="40C99B7C" w14:textId="77777777" w:rsidR="00656058" w:rsidRDefault="00656058" w:rsidP="0026715C">
      <w:pPr>
        <w:ind w:left="720"/>
      </w:pPr>
    </w:p>
    <w:p w14:paraId="653AF98B" w14:textId="77777777" w:rsidR="000C78E6" w:rsidRDefault="000C78E6" w:rsidP="0026715C">
      <w:pPr>
        <w:ind w:left="720"/>
      </w:pPr>
    </w:p>
    <w:p w14:paraId="22844042" w14:textId="77777777" w:rsidR="000C78E6" w:rsidRDefault="000C78E6" w:rsidP="0026715C">
      <w:pPr>
        <w:ind w:left="720"/>
      </w:pPr>
    </w:p>
    <w:p w14:paraId="115EC05D" w14:textId="77777777" w:rsidR="00026250" w:rsidRDefault="00026250" w:rsidP="0026715C">
      <w:pPr>
        <w:ind w:left="720"/>
      </w:pPr>
    </w:p>
    <w:p w14:paraId="7B065ADE" w14:textId="77777777" w:rsidR="00656058" w:rsidRDefault="00026250" w:rsidP="0026715C">
      <w:pPr>
        <w:ind w:left="720"/>
      </w:pPr>
      <w:r>
        <w:rPr>
          <w:noProof/>
        </w:rPr>
        <w:drawing>
          <wp:inline distT="0" distB="0" distL="0" distR="0" wp14:anchorId="6E50FCAF" wp14:editId="33FAA76F">
            <wp:extent cx="4646774" cy="2134870"/>
            <wp:effectExtent l="0" t="0" r="1905" b="0"/>
            <wp:docPr id="12" name="Picture 12" descr="Kendra,&#10;Thank you for your presentation on SSI – we are so grateful!  We look forward to next one. (smile)&#10;" title="Appreciation comme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2112" cy="2137322"/>
                    </a:xfrm>
                    <a:prstGeom prst="rect">
                      <a:avLst/>
                    </a:prstGeom>
                    <a:noFill/>
                  </pic:spPr>
                </pic:pic>
              </a:graphicData>
            </a:graphic>
          </wp:inline>
        </w:drawing>
      </w:r>
    </w:p>
    <w:p w14:paraId="3DD8E17F" w14:textId="77777777" w:rsidR="00026250" w:rsidRDefault="00026250" w:rsidP="000C78E6">
      <w:pPr>
        <w:spacing w:after="0" w:line="240" w:lineRule="auto"/>
      </w:pPr>
      <w:r>
        <w:t>Kendra,</w:t>
      </w:r>
    </w:p>
    <w:p w14:paraId="444F9FE0" w14:textId="77777777" w:rsidR="00026250" w:rsidRDefault="00026250" w:rsidP="000C78E6">
      <w:pPr>
        <w:spacing w:after="0" w:line="240" w:lineRule="auto"/>
      </w:pPr>
      <w:r>
        <w:t>Thank you for your presentation on SSI – we are so grateful!  We look forward to next one. (</w:t>
      </w:r>
      <w:proofErr w:type="gramStart"/>
      <w:r>
        <w:t>smile</w:t>
      </w:r>
      <w:proofErr w:type="gramEnd"/>
      <w:r>
        <w:t>)</w:t>
      </w:r>
    </w:p>
    <w:p w14:paraId="3DB52CF1" w14:textId="77777777" w:rsidR="00656058" w:rsidRDefault="00656058" w:rsidP="0026715C">
      <w:pPr>
        <w:ind w:left="720"/>
      </w:pPr>
    </w:p>
    <w:p w14:paraId="6A89E7D9" w14:textId="77777777" w:rsidR="006A69D9" w:rsidRDefault="006A69D9" w:rsidP="00645932">
      <w:r>
        <w:rPr>
          <w:noProof/>
        </w:rPr>
        <w:drawing>
          <wp:inline distT="0" distB="0" distL="0" distR="0" wp14:anchorId="31F6097E" wp14:editId="4EC520A0">
            <wp:extent cx="3967316" cy="2562225"/>
            <wp:effectExtent l="0" t="0" r="0" b="0"/>
            <wp:docPr id="2" name="Picture 2" descr="Spanish comment translated to: Mr. Carlos Mora. Greetings for Christmas and New Year 2016. I wish you enjoy health, work and happiness in your life. Thank you for your great help." title="Appreciation commen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908" cy="2567774"/>
                    </a:xfrm>
                    <a:prstGeom prst="rect">
                      <a:avLst/>
                    </a:prstGeom>
                    <a:noFill/>
                    <a:ln>
                      <a:noFill/>
                    </a:ln>
                  </pic:spPr>
                </pic:pic>
              </a:graphicData>
            </a:graphic>
          </wp:inline>
        </w:drawing>
      </w:r>
    </w:p>
    <w:p w14:paraId="124378FF" w14:textId="075E3E65" w:rsidR="006A69D9" w:rsidRDefault="006A69D9" w:rsidP="00645932">
      <w:proofErr w:type="spellStart"/>
      <w:r w:rsidRPr="00180094">
        <w:t>Señor</w:t>
      </w:r>
      <w:proofErr w:type="spellEnd"/>
      <w:r w:rsidRPr="00180094">
        <w:t xml:space="preserve"> Carlos Mora. </w:t>
      </w:r>
      <w:proofErr w:type="gramStart"/>
      <w:r w:rsidRPr="00180094">
        <w:t>Un</w:t>
      </w:r>
      <w:proofErr w:type="gramEnd"/>
      <w:r w:rsidRPr="00180094">
        <w:t xml:space="preserve"> </w:t>
      </w:r>
      <w:proofErr w:type="spellStart"/>
      <w:r w:rsidRPr="00180094">
        <w:t>saludo</w:t>
      </w:r>
      <w:proofErr w:type="spellEnd"/>
      <w:r w:rsidRPr="00180094">
        <w:t xml:space="preserve"> </w:t>
      </w:r>
      <w:proofErr w:type="spellStart"/>
      <w:r w:rsidRPr="00180094">
        <w:t>por</w:t>
      </w:r>
      <w:proofErr w:type="spellEnd"/>
      <w:r w:rsidRPr="00180094">
        <w:t xml:space="preserve"> Fiestas de </w:t>
      </w:r>
      <w:proofErr w:type="spellStart"/>
      <w:r w:rsidRPr="00180094">
        <w:t>Navidad</w:t>
      </w:r>
      <w:proofErr w:type="spellEnd"/>
      <w:r w:rsidRPr="00180094">
        <w:t xml:space="preserve"> y </w:t>
      </w:r>
      <w:proofErr w:type="spellStart"/>
      <w:r w:rsidRPr="00180094">
        <w:t>Ano</w:t>
      </w:r>
      <w:proofErr w:type="spellEnd"/>
      <w:r w:rsidRPr="00180094">
        <w:t xml:space="preserve"> Nuevo 2016. Le </w:t>
      </w:r>
      <w:proofErr w:type="spellStart"/>
      <w:r w:rsidRPr="00180094">
        <w:t>deseo</w:t>
      </w:r>
      <w:proofErr w:type="spellEnd"/>
      <w:r w:rsidRPr="00180094">
        <w:t xml:space="preserve"> que </w:t>
      </w:r>
      <w:proofErr w:type="spellStart"/>
      <w:r w:rsidRPr="00180094">
        <w:t>goce</w:t>
      </w:r>
      <w:proofErr w:type="spellEnd"/>
      <w:r w:rsidRPr="00180094">
        <w:t xml:space="preserve"> de </w:t>
      </w:r>
      <w:proofErr w:type="spellStart"/>
      <w:r w:rsidRPr="00180094">
        <w:t>salud</w:t>
      </w:r>
      <w:proofErr w:type="spellEnd"/>
      <w:r w:rsidRPr="00180094">
        <w:t xml:space="preserve">, </w:t>
      </w:r>
      <w:proofErr w:type="spellStart"/>
      <w:r w:rsidRPr="00180094">
        <w:t>trabajo</w:t>
      </w:r>
      <w:proofErr w:type="spellEnd"/>
      <w:r w:rsidRPr="00180094">
        <w:t xml:space="preserve"> y </w:t>
      </w:r>
      <w:proofErr w:type="spellStart"/>
      <w:r w:rsidRPr="00180094">
        <w:t>felicidad</w:t>
      </w:r>
      <w:proofErr w:type="spellEnd"/>
      <w:r w:rsidRPr="00180094">
        <w:t xml:space="preserve"> in </w:t>
      </w:r>
      <w:proofErr w:type="spellStart"/>
      <w:r w:rsidRPr="00180094">
        <w:t>su</w:t>
      </w:r>
      <w:proofErr w:type="spellEnd"/>
      <w:r w:rsidRPr="00180094">
        <w:t xml:space="preserve"> </w:t>
      </w:r>
      <w:proofErr w:type="spellStart"/>
      <w:r w:rsidRPr="00180094">
        <w:t>vida</w:t>
      </w:r>
      <w:proofErr w:type="spellEnd"/>
      <w:r w:rsidRPr="00180094">
        <w:t xml:space="preserve">. Gracias </w:t>
      </w:r>
      <w:proofErr w:type="spellStart"/>
      <w:r w:rsidRPr="00180094">
        <w:t>por</w:t>
      </w:r>
      <w:proofErr w:type="spellEnd"/>
      <w:r w:rsidRPr="00180094">
        <w:t xml:space="preserve"> </w:t>
      </w:r>
      <w:proofErr w:type="spellStart"/>
      <w:r w:rsidRPr="00180094">
        <w:t>su</w:t>
      </w:r>
      <w:proofErr w:type="spellEnd"/>
      <w:r w:rsidRPr="00180094">
        <w:t xml:space="preserve"> gran </w:t>
      </w:r>
      <w:proofErr w:type="spellStart"/>
      <w:r w:rsidRPr="00180094">
        <w:t>ayuda</w:t>
      </w:r>
      <w:proofErr w:type="spellEnd"/>
      <w:r w:rsidRPr="00180094">
        <w:t>. (Mr. Carlos Mora. Greetings for Christmas and New Year 2016. I wish you enjoy health, work and happiness in your life. Thank you for your great help.)</w:t>
      </w:r>
    </w:p>
    <w:p w14:paraId="418580BA" w14:textId="77777777" w:rsidR="006A69D9" w:rsidRDefault="006A69D9" w:rsidP="00645932"/>
    <w:p w14:paraId="39A8369A" w14:textId="77777777" w:rsidR="0026715C" w:rsidRDefault="00026250" w:rsidP="00026250">
      <w:pPr>
        <w:ind w:firstLine="720"/>
        <w:rPr>
          <w:noProof/>
        </w:rPr>
      </w:pPr>
      <w:r>
        <w:rPr>
          <w:noProof/>
        </w:rPr>
        <w:t xml:space="preserve">     </w:t>
      </w:r>
      <w:r w:rsidR="001A5661" w:rsidRPr="001A5661">
        <w:rPr>
          <w:noProof/>
        </w:rPr>
        <w:drawing>
          <wp:inline distT="0" distB="0" distL="0" distR="0" wp14:anchorId="406D8226" wp14:editId="35B61DCF">
            <wp:extent cx="3009075" cy="2647108"/>
            <wp:effectExtent l="0" t="0" r="1270" b="1270"/>
            <wp:docPr id="6" name="Picture 6" descr="Margaret, Thank you for all your help with ___ CCS case.  I really appreciate it and couldn’t have done any of it without your constant help.&#10;" title="Appreciation commen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ce\Pictures\appreciation comment for semi annu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0339" cy="2657017"/>
                    </a:xfrm>
                    <a:prstGeom prst="rect">
                      <a:avLst/>
                    </a:prstGeom>
                    <a:noFill/>
                    <a:ln>
                      <a:noFill/>
                    </a:ln>
                  </pic:spPr>
                </pic:pic>
              </a:graphicData>
            </a:graphic>
          </wp:inline>
        </w:drawing>
      </w:r>
    </w:p>
    <w:p w14:paraId="054377A2" w14:textId="77777777" w:rsidR="001A5661" w:rsidRDefault="001A5661" w:rsidP="00026250">
      <w:pPr>
        <w:spacing w:after="0" w:line="240" w:lineRule="auto"/>
        <w:ind w:left="576" w:firstLine="576"/>
      </w:pPr>
    </w:p>
    <w:p w14:paraId="0851327C" w14:textId="77777777" w:rsidR="0026715C" w:rsidRDefault="0026715C" w:rsidP="000C78E6">
      <w:pPr>
        <w:spacing w:after="0" w:line="240" w:lineRule="auto"/>
      </w:pPr>
      <w:r>
        <w:t xml:space="preserve">Margaret, </w:t>
      </w:r>
    </w:p>
    <w:p w14:paraId="5854FE89" w14:textId="06CF995B" w:rsidR="0026715C" w:rsidRDefault="0026715C" w:rsidP="000C78E6">
      <w:pPr>
        <w:spacing w:after="0" w:line="240" w:lineRule="auto"/>
      </w:pPr>
      <w:r>
        <w:t xml:space="preserve">Thank you for all your help with </w:t>
      </w:r>
      <w:r w:rsidR="00BF6250">
        <w:t xml:space="preserve">___ </w:t>
      </w:r>
      <w:r>
        <w:t xml:space="preserve">CCS case.  I really </w:t>
      </w:r>
      <w:r w:rsidR="00026250">
        <w:t>a</w:t>
      </w:r>
      <w:r>
        <w:t>ppreciate</w:t>
      </w:r>
      <w:r w:rsidR="00026250">
        <w:t xml:space="preserve"> </w:t>
      </w:r>
      <w:r>
        <w:t>it and couldn’t have done any of it without your</w:t>
      </w:r>
      <w:r w:rsidR="000C78E6">
        <w:t xml:space="preserve"> </w:t>
      </w:r>
      <w:r>
        <w:t>constant help.</w:t>
      </w:r>
    </w:p>
    <w:p w14:paraId="4FB5AC41" w14:textId="77777777" w:rsidR="00C66CEC" w:rsidRDefault="00C66CEC" w:rsidP="00645932">
      <w:pPr>
        <w:rPr>
          <w:noProof/>
        </w:rPr>
      </w:pPr>
    </w:p>
    <w:p w14:paraId="079E1554" w14:textId="77777777" w:rsidR="00C66CEC" w:rsidRDefault="00224B3A" w:rsidP="00645932">
      <w:pPr>
        <w:rPr>
          <w:noProof/>
        </w:rPr>
      </w:pPr>
      <w:r>
        <w:rPr>
          <w:noProof/>
        </w:rPr>
        <w:lastRenderedPageBreak/>
        <w:t xml:space="preserve">    </w:t>
      </w:r>
      <w:r w:rsidR="00026250">
        <w:rPr>
          <w:noProof/>
        </w:rPr>
        <w:t xml:space="preserve">    </w:t>
      </w:r>
      <w:r>
        <w:rPr>
          <w:noProof/>
        </w:rPr>
        <w:t xml:space="preserve"> </w:t>
      </w:r>
      <w:r w:rsidR="00026250">
        <w:rPr>
          <w:noProof/>
        </w:rPr>
        <w:t xml:space="preserve">    </w:t>
      </w:r>
    </w:p>
    <w:p w14:paraId="56A4F794" w14:textId="77777777" w:rsidR="0026715C" w:rsidRDefault="00C66CEC" w:rsidP="00C66CEC">
      <w:pPr>
        <w:ind w:firstLine="720"/>
        <w:rPr>
          <w:noProof/>
        </w:rPr>
      </w:pPr>
      <w:r>
        <w:rPr>
          <w:noProof/>
        </w:rPr>
        <w:t xml:space="preserve">    </w:t>
      </w:r>
      <w:r w:rsidR="0026715C">
        <w:rPr>
          <w:noProof/>
        </w:rPr>
        <w:drawing>
          <wp:inline distT="0" distB="0" distL="0" distR="0" wp14:anchorId="1D7F07DE" wp14:editId="2D5D8FF0">
            <wp:extent cx="1905000" cy="430456"/>
            <wp:effectExtent l="0" t="0" r="0" b="8255"/>
            <wp:docPr id="13" name="Picture 13" descr="North Los Angeles County Regional Center letterhead logo." title="Appreciation comment 6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6077" cy="444257"/>
                    </a:xfrm>
                    <a:prstGeom prst="rect">
                      <a:avLst/>
                    </a:prstGeom>
                    <a:noFill/>
                    <a:ln>
                      <a:noFill/>
                    </a:ln>
                  </pic:spPr>
                </pic:pic>
              </a:graphicData>
            </a:graphic>
          </wp:inline>
        </w:drawing>
      </w:r>
    </w:p>
    <w:p w14:paraId="11BACE39" w14:textId="77777777" w:rsidR="0026715C" w:rsidRDefault="00224B3A" w:rsidP="00224B3A">
      <w:pPr>
        <w:ind w:left="720"/>
      </w:pPr>
      <w:r>
        <w:rPr>
          <w:noProof/>
        </w:rPr>
        <w:t xml:space="preserve">  </w:t>
      </w:r>
      <w:r w:rsidR="00026250">
        <w:rPr>
          <w:noProof/>
        </w:rPr>
        <w:t xml:space="preserve">    </w:t>
      </w:r>
      <w:r w:rsidR="0026715C">
        <w:rPr>
          <w:noProof/>
        </w:rPr>
        <w:drawing>
          <wp:inline distT="0" distB="0" distL="0" distR="0" wp14:anchorId="7967BE2E" wp14:editId="700CFD40">
            <wp:extent cx="4720929" cy="2609850"/>
            <wp:effectExtent l="0" t="0" r="3810" b="0"/>
            <wp:docPr id="7" name="Picture 7" descr="Dear Bebo:&#10;Thank you very much for participating as a presenter at North Los Angeles County Regional Center’s Festival Educacional on Saturday, November 7, 2015 at Sam’s Café!  Approximately 76 people attended this year’s event and overall response to the presentations was very positive.&#10;There were 39 San Fernando Valley families and 3 Santa Clarita Valley families represented at the event.  For 22 of the families it was their first time attending Festival.  We received approximately 42 completed evaluation forms with the majority of those in attendance rating your presentation as being excellent.  We really appreciate that you took time out of your busy schedule to help make this year’s Festival a very successful event, and we hope to work with you again soon in the future.&#10;" title="Appreciation comment 6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7585" cy="2613530"/>
                    </a:xfrm>
                    <a:prstGeom prst="rect">
                      <a:avLst/>
                    </a:prstGeom>
                    <a:noFill/>
                  </pic:spPr>
                </pic:pic>
              </a:graphicData>
            </a:graphic>
          </wp:inline>
        </w:drawing>
      </w:r>
    </w:p>
    <w:p w14:paraId="468611EF" w14:textId="77777777" w:rsidR="0026715C" w:rsidRDefault="00224B3A" w:rsidP="00645932">
      <w:r>
        <w:rPr>
          <w:noProof/>
        </w:rPr>
        <w:t xml:space="preserve">        </w:t>
      </w:r>
      <w:r w:rsidR="00026250">
        <w:rPr>
          <w:noProof/>
        </w:rPr>
        <w:t xml:space="preserve">  </w:t>
      </w:r>
      <w:r>
        <w:rPr>
          <w:noProof/>
        </w:rPr>
        <w:t xml:space="preserve">  </w:t>
      </w:r>
      <w:r w:rsidR="00026250">
        <w:rPr>
          <w:noProof/>
        </w:rPr>
        <w:t xml:space="preserve">     </w:t>
      </w:r>
      <w:r w:rsidR="0026715C">
        <w:rPr>
          <w:noProof/>
        </w:rPr>
        <w:drawing>
          <wp:inline distT="0" distB="0" distL="0" distR="0" wp14:anchorId="0ECB5DE7" wp14:editId="4F4B3FEB">
            <wp:extent cx="1895475" cy="293105"/>
            <wp:effectExtent l="0" t="0" r="0" b="0"/>
            <wp:docPr id="8" name="Picture 8" descr="Sara Iwahashi&#10;Public Information &amp; Training Supervisor&#10;" title="Appreciation comment 6 p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5435" cy="305470"/>
                    </a:xfrm>
                    <a:prstGeom prst="rect">
                      <a:avLst/>
                    </a:prstGeom>
                    <a:noFill/>
                  </pic:spPr>
                </pic:pic>
              </a:graphicData>
            </a:graphic>
          </wp:inline>
        </w:drawing>
      </w:r>
    </w:p>
    <w:p w14:paraId="3FD1B00E" w14:textId="5F500A8C" w:rsidR="0026715C" w:rsidRDefault="00656058" w:rsidP="000C78E6">
      <w:r>
        <w:t>Dear Bebo:</w:t>
      </w:r>
    </w:p>
    <w:p w14:paraId="6A5BF26F" w14:textId="77777777" w:rsidR="00656058" w:rsidRDefault="00656058" w:rsidP="000C78E6">
      <w:r>
        <w:t>Thank you very much for participating as a present</w:t>
      </w:r>
      <w:r w:rsidR="00224B3A">
        <w:t>er</w:t>
      </w:r>
      <w:r>
        <w:t xml:space="preserve"> at North Los Angeles County Regional Center’s Festival </w:t>
      </w:r>
      <w:proofErr w:type="spellStart"/>
      <w:r>
        <w:t>Educacional</w:t>
      </w:r>
      <w:proofErr w:type="spellEnd"/>
      <w:r>
        <w:t xml:space="preserve"> on S</w:t>
      </w:r>
      <w:r w:rsidR="00224B3A">
        <w:t>a</w:t>
      </w:r>
      <w:r>
        <w:t>turday, No</w:t>
      </w:r>
      <w:r w:rsidR="00224B3A">
        <w:t>v</w:t>
      </w:r>
      <w:r>
        <w:t>ember 7, 2015 at Sam’s Café!  Approximately 76 people attended this year’s event and overall response to the presentations was very positive.</w:t>
      </w:r>
    </w:p>
    <w:p w14:paraId="647074FF" w14:textId="77777777" w:rsidR="00656058" w:rsidRDefault="00656058" w:rsidP="000C78E6">
      <w:r>
        <w:t>There were 39 San Fernando Valley families and 3 Santa Clarita Valley families represented at the event.  For 22 of the families it was their first time attending Festival.</w:t>
      </w:r>
      <w:r w:rsidR="00224B3A">
        <w:t xml:space="preserve">  </w:t>
      </w:r>
      <w:r>
        <w:t>We received approximately 42 completed evaluation forms with the majority of those in attendance rating your presentation as being excellent.</w:t>
      </w:r>
    </w:p>
    <w:p w14:paraId="49455153" w14:textId="77777777" w:rsidR="00656058" w:rsidRDefault="00656058" w:rsidP="000C78E6">
      <w:r>
        <w:t>We really appreciate that you took time out of your busy schedule to help make this year’s Festival a very successful event, and we hope to work with you again soon in the future.</w:t>
      </w:r>
    </w:p>
    <w:p w14:paraId="034DAC35" w14:textId="77777777" w:rsidR="00656058" w:rsidRDefault="00656058" w:rsidP="000C78E6">
      <w:r>
        <w:t>Thank you again, for your support.</w:t>
      </w:r>
    </w:p>
    <w:p w14:paraId="55D41291" w14:textId="77777777" w:rsidR="00212123" w:rsidRDefault="00212123" w:rsidP="000C78E6">
      <w:pPr>
        <w:spacing w:after="0" w:line="240" w:lineRule="auto"/>
      </w:pPr>
      <w:r>
        <w:t>Sincerely,</w:t>
      </w:r>
    </w:p>
    <w:p w14:paraId="43D9300D" w14:textId="77777777" w:rsidR="00212123" w:rsidRDefault="00212123" w:rsidP="000C78E6">
      <w:pPr>
        <w:spacing w:after="0" w:line="240" w:lineRule="auto"/>
      </w:pPr>
      <w:r>
        <w:t xml:space="preserve">Sara </w:t>
      </w:r>
      <w:proofErr w:type="spellStart"/>
      <w:r>
        <w:t>Iwahashi</w:t>
      </w:r>
      <w:proofErr w:type="spellEnd"/>
    </w:p>
    <w:p w14:paraId="0F20393B" w14:textId="145159C8" w:rsidR="00180094" w:rsidRDefault="00212123" w:rsidP="000C78E6">
      <w:r>
        <w:t>Public Information &amp; Training Supervisor</w:t>
      </w:r>
      <w:bookmarkStart w:id="29" w:name="_Toc428549022"/>
    </w:p>
    <w:p w14:paraId="62404035" w14:textId="77777777" w:rsidR="002E2352" w:rsidRPr="002E2352" w:rsidRDefault="002E2352" w:rsidP="004400AA">
      <w:pPr>
        <w:pStyle w:val="Heading3"/>
        <w:spacing w:before="0" w:after="160" w:line="259" w:lineRule="auto"/>
      </w:pPr>
      <w:bookmarkStart w:id="30" w:name="_Toc441673599"/>
      <w:r w:rsidRPr="002E2352">
        <w:lastRenderedPageBreak/>
        <w:t>3) Cases will</w:t>
      </w:r>
      <w:r w:rsidR="00164EB9">
        <w:t xml:space="preserve"> be handled in a timely manner.</w:t>
      </w:r>
      <w:bookmarkEnd w:id="29"/>
      <w:bookmarkEnd w:id="30"/>
    </w:p>
    <w:p w14:paraId="55EC1ECC" w14:textId="77777777" w:rsidR="00824CFD" w:rsidRDefault="002E2352" w:rsidP="004400AA">
      <w:r w:rsidRPr="002E2352">
        <w:t xml:space="preserve">Consumers and families contact OCRA because something has gone wrong for them. </w:t>
      </w:r>
      <w:r w:rsidR="00757AE6">
        <w:t xml:space="preserve"> </w:t>
      </w:r>
      <w:r w:rsidRPr="002E2352">
        <w:t xml:space="preserve">It may be that they are losing a government benefit, </w:t>
      </w:r>
      <w:r w:rsidR="00757AE6">
        <w:t xml:space="preserve">are </w:t>
      </w:r>
      <w:r w:rsidRPr="002E2352">
        <w:t>being forced to move to a new more</w:t>
      </w:r>
      <w:r w:rsidR="0040557C">
        <w:t xml:space="preserve"> restrictive environment, or </w:t>
      </w:r>
      <w:r w:rsidR="00757AE6">
        <w:t xml:space="preserve">are facing </w:t>
      </w:r>
      <w:r w:rsidRPr="002E2352">
        <w:t>another urgent situation.</w:t>
      </w:r>
      <w:r w:rsidR="00757AE6">
        <w:t xml:space="preserve"> </w:t>
      </w:r>
      <w:r w:rsidRPr="002E2352">
        <w:t xml:space="preserve"> Therefore, it is important that OCRA staff be responsive. </w:t>
      </w:r>
      <w:r w:rsidR="00824CFD">
        <w:t xml:space="preserve"> </w:t>
      </w:r>
      <w:r w:rsidRPr="002E2352">
        <w:t>For this reason, OCRA has, since its establishment, had a policy that all calls will be returned as soon as poss</w:t>
      </w:r>
      <w:r w:rsidR="00164EB9">
        <w:t>ible, but not later than the close</w:t>
      </w:r>
      <w:r w:rsidRPr="002E2352">
        <w:t xml:space="preserve"> of the next business day. </w:t>
      </w:r>
      <w:r w:rsidR="00824CFD">
        <w:t xml:space="preserve"> OCRA staff </w:t>
      </w:r>
      <w:r w:rsidR="00164EB9">
        <w:t xml:space="preserve">often </w:t>
      </w:r>
      <w:r w:rsidR="00824CFD">
        <w:t xml:space="preserve">note this policy on the outgoing voicemail message that callers hear when reaching the office voicemail.  </w:t>
      </w:r>
    </w:p>
    <w:p w14:paraId="5E666760" w14:textId="77777777" w:rsidR="002E2352" w:rsidRPr="002E2352" w:rsidRDefault="002E2352" w:rsidP="00645932">
      <w:r w:rsidRPr="002E2352">
        <w:t xml:space="preserve">OCRA measures its performance in this area by use of its consumer satisfaction survey; see Exhibit G, discussed more fully above. </w:t>
      </w:r>
      <w:r w:rsidR="00F1602A">
        <w:t xml:space="preserve"> OCRA statistics shows that 90</w:t>
      </w:r>
      <w:r w:rsidRPr="002E2352">
        <w:t xml:space="preserve"> percent of all callers to OCRA received a call back within two days during the last fiscal year. </w:t>
      </w:r>
      <w:r w:rsidR="00824CFD">
        <w:t xml:space="preserve"> </w:t>
      </w:r>
      <w:r w:rsidRPr="002E2352">
        <w:t xml:space="preserve">This is </w:t>
      </w:r>
      <w:r w:rsidR="00F1602A">
        <w:t>higher</w:t>
      </w:r>
      <w:r w:rsidR="00824CFD">
        <w:t xml:space="preserve"> than last year, </w:t>
      </w:r>
      <w:r w:rsidR="00F1602A">
        <w:t xml:space="preserve">and much higher than the </w:t>
      </w:r>
      <w:r w:rsidR="009D6AD5">
        <w:t xml:space="preserve">84 percent reported in our </w:t>
      </w:r>
      <w:r w:rsidR="00F1602A">
        <w:t>last</w:t>
      </w:r>
      <w:r w:rsidR="009D6AD5">
        <w:t xml:space="preserve"> semi-annual report.  </w:t>
      </w:r>
      <w:r w:rsidR="004E5D55">
        <w:t>OCRA will continue to use the electronic call logs and the extra Bilingual Assistant CRA support to preserve the positive timeliness and satisfaction responses by clients</w:t>
      </w:r>
      <w:r w:rsidRPr="002E2352">
        <w:t xml:space="preserve">. </w:t>
      </w:r>
    </w:p>
    <w:p w14:paraId="1998C3F7" w14:textId="77777777" w:rsidR="002E2352" w:rsidRPr="002E2352" w:rsidRDefault="00D57E48" w:rsidP="00D57E48">
      <w:pPr>
        <w:pStyle w:val="Heading2"/>
        <w:numPr>
          <w:ilvl w:val="0"/>
          <w:numId w:val="3"/>
        </w:numPr>
      </w:pPr>
      <w:bookmarkStart w:id="31" w:name="_Toc428549023"/>
      <w:bookmarkStart w:id="32" w:name="_Toc441673600"/>
      <w:r>
        <w:t>T</w:t>
      </w:r>
      <w:r w:rsidR="002E2352" w:rsidRPr="002E2352">
        <w:t>he provision of clients’ rights advocacy services is coordinated</w:t>
      </w:r>
      <w:r>
        <w:t xml:space="preserve"> </w:t>
      </w:r>
      <w:r w:rsidR="002E2352" w:rsidRPr="002E2352">
        <w:t>in consultation with the DDS contract manager, stakeholder</w:t>
      </w:r>
      <w:r>
        <w:t xml:space="preserve"> </w:t>
      </w:r>
      <w:r w:rsidR="002E2352" w:rsidRPr="002E2352">
        <w:t>organizations, and persons with developmental disabilities and</w:t>
      </w:r>
      <w:r>
        <w:t xml:space="preserve"> m </w:t>
      </w:r>
      <w:r w:rsidR="002E2352" w:rsidRPr="002E2352">
        <w:t>their families representing California’s multi-cultural diversity.</w:t>
      </w:r>
      <w:bookmarkEnd w:id="31"/>
      <w:bookmarkEnd w:id="32"/>
      <w:r w:rsidR="002E2352" w:rsidRPr="002E2352">
        <w:t xml:space="preserve"> </w:t>
      </w:r>
    </w:p>
    <w:p w14:paraId="14A29866" w14:textId="77777777" w:rsidR="002E2352" w:rsidRPr="002E2352" w:rsidRDefault="002E2352" w:rsidP="00645932">
      <w:r w:rsidRPr="002E2352">
        <w:t xml:space="preserve">OCRA works through the OCRA Advisory Committee to ensure that this performance outcome is achieved. </w:t>
      </w:r>
      <w:r w:rsidR="0010733B">
        <w:t xml:space="preserve"> </w:t>
      </w:r>
      <w:r w:rsidRPr="002E2352">
        <w:t>Attached as Exhibit H is a list of the members of the Disability Rights California Board of</w:t>
      </w:r>
      <w:r w:rsidR="00E312E9">
        <w:t xml:space="preserve"> Director’s OCRA Advisory </w:t>
      </w:r>
      <w:r w:rsidRPr="002E2352">
        <w:t>C</w:t>
      </w:r>
      <w:r w:rsidR="0010733B">
        <w:t xml:space="preserve">ommittee effective </w:t>
      </w:r>
      <w:r w:rsidR="004E5D55">
        <w:t>December 31</w:t>
      </w:r>
      <w:r w:rsidR="0010733B">
        <w:t>, 2015</w:t>
      </w:r>
      <w:r w:rsidRPr="002E2352">
        <w:t xml:space="preserve">. </w:t>
      </w:r>
    </w:p>
    <w:p w14:paraId="3CBD4757" w14:textId="77777777" w:rsidR="002E2352" w:rsidRPr="002E2352" w:rsidRDefault="002E2352" w:rsidP="00645932">
      <w:r w:rsidRPr="002E2352">
        <w:t xml:space="preserve">Public members of the Advisory Committee are appointed by the Board of Directors. </w:t>
      </w:r>
      <w:r w:rsidR="00824CFD">
        <w:t xml:space="preserve"> </w:t>
      </w:r>
      <w:r w:rsidRPr="002E2352">
        <w:t xml:space="preserve">In the selection process, the Board considers geographical diversity, both rural and urban and north and south, type of developmental disability represented, and ethnic background, in addition to the qualifications of the individual applicants. </w:t>
      </w:r>
    </w:p>
    <w:p w14:paraId="4466969E" w14:textId="77777777" w:rsidR="002E2352" w:rsidRPr="00645932" w:rsidRDefault="00E312E9" w:rsidP="00645932">
      <w:r>
        <w:t xml:space="preserve">The </w:t>
      </w:r>
      <w:r w:rsidR="002E2352" w:rsidRPr="002E2352">
        <w:t xml:space="preserve">OCRA Advisory Committee provides valuable insight to the OCRA staff. </w:t>
      </w:r>
      <w:r w:rsidR="00824CFD">
        <w:t xml:space="preserve"> </w:t>
      </w:r>
      <w:r w:rsidR="002E2352" w:rsidRPr="002E2352">
        <w:t xml:space="preserve">A wide variety of topics are addressed at the meetings and board members become better self-advocates as a result of having been on the committee. </w:t>
      </w:r>
      <w:r w:rsidR="0010733B">
        <w:t xml:space="preserve"> </w:t>
      </w:r>
      <w:r w:rsidR="002E2352" w:rsidRPr="0010733B">
        <w:t xml:space="preserve">Minutes for </w:t>
      </w:r>
      <w:r w:rsidR="0010733B" w:rsidRPr="0010733B">
        <w:t>the me</w:t>
      </w:r>
      <w:r w:rsidR="004E5D55">
        <w:t>eting held on September 18, 2015</w:t>
      </w:r>
      <w:r w:rsidR="002E2352" w:rsidRPr="0010733B">
        <w:t xml:space="preserve">, </w:t>
      </w:r>
      <w:r w:rsidR="002E2352" w:rsidRPr="002E2352">
        <w:t xml:space="preserve">are </w:t>
      </w:r>
      <w:r w:rsidR="002E2352" w:rsidRPr="002E2352">
        <w:lastRenderedPageBreak/>
        <w:t xml:space="preserve">included as Exhibit H. </w:t>
      </w:r>
      <w:r w:rsidR="0010733B">
        <w:t xml:space="preserve"> </w:t>
      </w:r>
      <w:r w:rsidR="002E2352" w:rsidRPr="002E2352">
        <w:t xml:space="preserve">DDS staff is invited and encouraged to </w:t>
      </w:r>
      <w:r w:rsidR="002E2352" w:rsidRPr="00645932">
        <w:t>participate in the next meetin</w:t>
      </w:r>
      <w:r w:rsidR="0010733B" w:rsidRPr="00645932">
        <w:t xml:space="preserve">g, which is set for </w:t>
      </w:r>
      <w:r w:rsidR="004E5D55">
        <w:t>March 11, 2016, in San Diego</w:t>
      </w:r>
      <w:r w:rsidR="002E2352" w:rsidRPr="00645932">
        <w:t xml:space="preserve">. </w:t>
      </w:r>
    </w:p>
    <w:p w14:paraId="2EAD0637" w14:textId="77777777" w:rsidR="002E2352" w:rsidRDefault="002E2352" w:rsidP="00D57E48">
      <w:pPr>
        <w:pStyle w:val="Heading2"/>
      </w:pPr>
      <w:bookmarkStart w:id="33" w:name="_Toc428549024"/>
      <w:bookmarkStart w:id="34" w:name="_Toc441673601"/>
      <w:r w:rsidRPr="002E2352">
        <w:t>F. Self-advocacy training is provided for consumers and families at least twice in each fiscal year.</w:t>
      </w:r>
      <w:bookmarkEnd w:id="33"/>
      <w:bookmarkEnd w:id="34"/>
      <w:r w:rsidRPr="002E2352">
        <w:t xml:space="preserve"> </w:t>
      </w:r>
    </w:p>
    <w:p w14:paraId="3ED42527" w14:textId="77777777" w:rsidR="002E2352" w:rsidRPr="002E2352" w:rsidRDefault="002E2352" w:rsidP="00645932">
      <w:r w:rsidRPr="002E2352">
        <w:t>Welfare and Institutions Code, Section 4433(d)(5), requires that the contractor providing advocacy services for consumers of regional center services provide at least two self-advoc</w:t>
      </w:r>
      <w:r w:rsidR="00E312E9">
        <w:t>acy trainings for consumers</w:t>
      </w:r>
      <w:r w:rsidR="00547681">
        <w:t xml:space="preserve"> each year</w:t>
      </w:r>
      <w:r w:rsidRPr="002E2352">
        <w:t xml:space="preserve">. </w:t>
      </w:r>
      <w:r w:rsidR="0010733B">
        <w:t xml:space="preserve"> </w:t>
      </w:r>
      <w:r w:rsidRPr="002E2352">
        <w:t xml:space="preserve">Disability Rights California’s contract with DDS mirrors this language. </w:t>
      </w:r>
      <w:r w:rsidR="0010733B">
        <w:t xml:space="preserve"> </w:t>
      </w:r>
      <w:r w:rsidRPr="002E2352">
        <w:t xml:space="preserve">OCRA strongly believes in the importance of self-advocacy and requires each of its offices to provide at least one self-advocacy training for consumers per year, far exceeding the two mandated trainings. </w:t>
      </w:r>
      <w:r w:rsidR="004E5D55">
        <w:t xml:space="preserve"> </w:t>
      </w:r>
      <w:r w:rsidRPr="002E2352">
        <w:t xml:space="preserve">Many offices provide more than one training per year. </w:t>
      </w:r>
      <w:r w:rsidR="0010733B">
        <w:t xml:space="preserve"> </w:t>
      </w:r>
      <w:r w:rsidR="00547681">
        <w:t>During this 6-month review period</w:t>
      </w:r>
      <w:r w:rsidR="00547681" w:rsidRPr="00547681">
        <w:t>, OCRA staff provided 23</w:t>
      </w:r>
      <w:r w:rsidR="006A6974" w:rsidRPr="00547681">
        <w:t xml:space="preserve"> self-advocacy presentations statewide.</w:t>
      </w:r>
    </w:p>
    <w:p w14:paraId="6BA21358" w14:textId="77777777" w:rsidR="002E2352" w:rsidRPr="002E2352" w:rsidRDefault="002E2352" w:rsidP="00645932">
      <w:r w:rsidRPr="002E2352">
        <w:t xml:space="preserve">Staff may present from any of the approved self-advocacy trainings. </w:t>
      </w:r>
      <w:r w:rsidR="0010733B">
        <w:t xml:space="preserve"> </w:t>
      </w:r>
      <w:r w:rsidRPr="002E2352">
        <w:t>To date, OCRA has developed six separate packets of information for OCRA staff to use in the mandated trainings in addition to the DDS Consumer Safety materials and the living arrangement options materials devel</w:t>
      </w:r>
      <w:r w:rsidR="00E312E9">
        <w:t>oped by DDS</w:t>
      </w:r>
      <w:r w:rsidRPr="002E2352">
        <w:t xml:space="preserve">. </w:t>
      </w:r>
      <w:r w:rsidR="0010733B">
        <w:t xml:space="preserve"> </w:t>
      </w:r>
      <w:r w:rsidR="002F729B" w:rsidRPr="002F729B">
        <w:t xml:space="preserve">The Peer Advocate, </w:t>
      </w:r>
      <w:r w:rsidR="002F729B">
        <w:t xml:space="preserve">who </w:t>
      </w:r>
      <w:r w:rsidR="002F729B" w:rsidRPr="002F729B">
        <w:t>provides self-advocacy training to consumers in restrictive settings like Canyon Springs</w:t>
      </w:r>
      <w:r w:rsidR="002F729B">
        <w:t xml:space="preserve">, will continue to develop </w:t>
      </w:r>
      <w:r w:rsidR="00547681">
        <w:t>new self-advocacy training ideas</w:t>
      </w:r>
      <w:r w:rsidR="002F729B">
        <w:t>.  When OCRA hires the northern California Peer Advocate, this will be a joint effort.</w:t>
      </w:r>
      <w:r w:rsidR="002F729B" w:rsidRPr="002F729B">
        <w:t xml:space="preserve">  </w:t>
      </w:r>
      <w:r w:rsidR="00AD030B">
        <w:t>The Peer Advocate is also collaborating with members of OCRA’s training committee to provide an interactive “how-to” training on OCRA’s various self-advocacy trainings, including skits and acting.  This will be a learning refresher for most OCRA staff, but new guidance to several new OCRA staff.</w:t>
      </w:r>
    </w:p>
    <w:p w14:paraId="43CD106D" w14:textId="77777777" w:rsidR="002E2352" w:rsidRPr="002E2352" w:rsidRDefault="002E2352" w:rsidP="00645932">
      <w:r w:rsidRPr="002E2352">
        <w:t xml:space="preserve">Samples of the OCRA self-advocacy packets (all are in both English and Spanish), were provided separately in a binder marked OCRA Training Materials with the 2007-2008 Annual Report. </w:t>
      </w:r>
      <w:r w:rsidR="0010733B">
        <w:t xml:space="preserve"> In discussions </w:t>
      </w:r>
      <w:r w:rsidRPr="002E2352">
        <w:t xml:space="preserve">with DDS’s Contract Manager, it was decided that OCRA should not submit duplicate training packets in this year’s annual report. </w:t>
      </w:r>
      <w:r w:rsidR="006A6974">
        <w:t xml:space="preserve"> </w:t>
      </w:r>
      <w:r w:rsidRPr="002E2352">
        <w:t xml:space="preserve">As always, OCRA welcomes comments from DDS on any training packets. </w:t>
      </w:r>
      <w:r w:rsidR="004E5D55">
        <w:t xml:space="preserve"> </w:t>
      </w:r>
      <w:r w:rsidRPr="002F729B">
        <w:t xml:space="preserve">A list of Self-Advocacy Trainings </w:t>
      </w:r>
      <w:r w:rsidR="00CB219D">
        <w:t xml:space="preserve">held last year are in Exhibit </w:t>
      </w:r>
      <w:proofErr w:type="gramStart"/>
      <w:r w:rsidR="00CB219D">
        <w:t>I.</w:t>
      </w:r>
      <w:proofErr w:type="gramEnd"/>
    </w:p>
    <w:p w14:paraId="2CFC105F" w14:textId="77777777" w:rsidR="002E2352" w:rsidRPr="00D57E48" w:rsidRDefault="002E2352" w:rsidP="00D57E48">
      <w:pPr>
        <w:pStyle w:val="Heading1"/>
      </w:pPr>
      <w:bookmarkStart w:id="35" w:name="_Toc428549025"/>
      <w:bookmarkStart w:id="36" w:name="_Toc441673602"/>
      <w:r w:rsidRPr="00D57E48">
        <w:t>III. TITLE 17 COMPLAINTS</w:t>
      </w:r>
      <w:bookmarkEnd w:id="35"/>
      <w:bookmarkEnd w:id="36"/>
      <w:r w:rsidRPr="00D57E48">
        <w:t xml:space="preserve"> </w:t>
      </w:r>
    </w:p>
    <w:p w14:paraId="5D0CE021" w14:textId="77777777" w:rsidR="002E2352" w:rsidRPr="00645932" w:rsidRDefault="002E2352" w:rsidP="002E2352">
      <w:pPr>
        <w:spacing w:after="0" w:line="240" w:lineRule="auto"/>
      </w:pPr>
      <w:r w:rsidRPr="002E2352">
        <w:t xml:space="preserve">CCR, Title 17, Section 50540, sets forth a complaint procedure whereby a regional center consumer, or his or her authorized representative, who </w:t>
      </w:r>
      <w:r w:rsidRPr="00645932">
        <w:lastRenderedPageBreak/>
        <w:t xml:space="preserve">believes a right has been abused, punitively withheld or improperly or unreasonably denied, may file a complaint with the Clients’ Rights Advocate. </w:t>
      </w:r>
      <w:r w:rsidR="0010733B" w:rsidRPr="00645932">
        <w:t xml:space="preserve"> </w:t>
      </w:r>
      <w:r w:rsidRPr="00645932">
        <w:t>The Complaint process is similar to that established by Welfare &amp; Institution Code, Section 4731.</w:t>
      </w:r>
      <w:r w:rsidR="0010733B" w:rsidRPr="00645932">
        <w:t xml:space="preserve"> </w:t>
      </w:r>
      <w:r w:rsidRPr="00645932">
        <w:t xml:space="preserve"> However, the later law offers more consumer protections. </w:t>
      </w:r>
      <w:r w:rsidR="0010733B" w:rsidRPr="00645932">
        <w:t xml:space="preserve"> </w:t>
      </w:r>
      <w:r w:rsidRPr="00645932">
        <w:t>There were no Titl</w:t>
      </w:r>
      <w:r w:rsidR="00547681">
        <w:t>e 17 Complaints filed during this</w:t>
      </w:r>
      <w:r w:rsidRPr="00645932">
        <w:t xml:space="preserve"> </w:t>
      </w:r>
      <w:r w:rsidR="00547681">
        <w:t>review period</w:t>
      </w:r>
      <w:r w:rsidRPr="00645932">
        <w:t xml:space="preserve">, as noted on Exhibit J. </w:t>
      </w:r>
    </w:p>
    <w:p w14:paraId="51FF471A" w14:textId="77777777" w:rsidR="002E2352" w:rsidRPr="002E2352" w:rsidRDefault="002E2352" w:rsidP="00D57E48">
      <w:pPr>
        <w:pStyle w:val="Heading1"/>
      </w:pPr>
      <w:bookmarkStart w:id="37" w:name="_Toc428549026"/>
      <w:bookmarkStart w:id="38" w:name="_Toc441673603"/>
      <w:r w:rsidRPr="002E2352">
        <w:t>IV. DENIAL OF CLIENTS’ RIGHTS</w:t>
      </w:r>
      <w:bookmarkEnd w:id="37"/>
      <w:bookmarkEnd w:id="38"/>
      <w:r w:rsidRPr="002E2352">
        <w:t xml:space="preserve"> </w:t>
      </w:r>
    </w:p>
    <w:p w14:paraId="4957869D" w14:textId="77777777" w:rsidR="002E2352" w:rsidRPr="002E2352" w:rsidRDefault="002E2352" w:rsidP="00645932">
      <w:r w:rsidRPr="002E2352">
        <w:t xml:space="preserve">CCR, Title 17, Section 50530, sets forth a procedure whereby a care provider may deny one of the basic rights of a consumer if there is a danger to self or others or a danger of property destruction caused by the actions of a consumer. </w:t>
      </w:r>
      <w:r w:rsidR="0010733B">
        <w:t xml:space="preserve"> </w:t>
      </w:r>
      <w:r w:rsidRPr="002E2352">
        <w:t xml:space="preserve">The Clients’ Rights Advocate must approve the procedure and submit a quarterly report to DDS by the last day of each January, April, July, and October. </w:t>
      </w:r>
      <w:r w:rsidR="0010733B">
        <w:t xml:space="preserve"> </w:t>
      </w:r>
      <w:r w:rsidRPr="002E2352">
        <w:t xml:space="preserve">OCRA is including the reports concurrently with the contractual date to provide OCRA’s reports. </w:t>
      </w:r>
      <w:r w:rsidR="0010733B">
        <w:t xml:space="preserve"> </w:t>
      </w:r>
      <w:r w:rsidRPr="002E2352">
        <w:t>If this is not acceptable to DDS, OCRA will submit duplicate reports as requested. Attached as Exhibit K is the current log of Denials of R</w:t>
      </w:r>
      <w:r w:rsidR="00E312E9">
        <w:t>ights from the OCRA o</w:t>
      </w:r>
      <w:r w:rsidR="006A6974">
        <w:t>ffices.</w:t>
      </w:r>
    </w:p>
    <w:p w14:paraId="3DD40A87" w14:textId="77777777" w:rsidR="002E2352" w:rsidRPr="002E2352" w:rsidRDefault="002E2352" w:rsidP="00D57E48">
      <w:pPr>
        <w:pStyle w:val="Heading1"/>
      </w:pPr>
      <w:bookmarkStart w:id="39" w:name="_Toc428549027"/>
      <w:bookmarkStart w:id="40" w:name="_Toc441673604"/>
      <w:r w:rsidRPr="002E2352">
        <w:t>V. CONSUMER GRIEVANCES</w:t>
      </w:r>
      <w:bookmarkEnd w:id="39"/>
      <w:bookmarkEnd w:id="40"/>
      <w:r w:rsidRPr="002E2352">
        <w:t xml:space="preserve"> </w:t>
      </w:r>
    </w:p>
    <w:p w14:paraId="0AA4C08D" w14:textId="77777777" w:rsidR="002E2352" w:rsidRPr="002E2352" w:rsidRDefault="002E2352" w:rsidP="00645932">
      <w:r w:rsidRPr="002E2352">
        <w:t xml:space="preserve">Exhibit A, Paragraph 12, of the contract between DDS and Disability Rights California requires OCRA to establish a grievance procedure and to inform all clients about the procedure. </w:t>
      </w:r>
      <w:r w:rsidR="006A6974">
        <w:t xml:space="preserve"> </w:t>
      </w:r>
      <w:r w:rsidRPr="002E2352">
        <w:t>DDS has approved the grievance procedure developed by OCRA.</w:t>
      </w:r>
      <w:r w:rsidR="006A6974">
        <w:t xml:space="preserve"> </w:t>
      </w:r>
      <w:r w:rsidRPr="002E2352">
        <w:t xml:space="preserve"> The procedure is posted prominently in both English and Spanish at each office. </w:t>
      </w:r>
      <w:r w:rsidR="006A6974">
        <w:t xml:space="preserve"> </w:t>
      </w:r>
      <w:r w:rsidRPr="005C0FCC">
        <w:t xml:space="preserve">Additionally, the grievance procedure is </w:t>
      </w:r>
      <w:r w:rsidR="005C0FCC">
        <w:t>offered</w:t>
      </w:r>
      <w:r w:rsidRPr="005C0FCC">
        <w:t xml:space="preserve"> in all letters to consumers or others who contact OCRA, when an office declines to provide the requested service to that person.</w:t>
      </w:r>
      <w:r w:rsidRPr="002E2352">
        <w:t xml:space="preserve"> </w:t>
      </w:r>
    </w:p>
    <w:p w14:paraId="6D7B9D17" w14:textId="77777777" w:rsidR="002E2352" w:rsidRPr="00645932" w:rsidRDefault="006F0219" w:rsidP="00645932">
      <w:r>
        <w:t xml:space="preserve">During the </w:t>
      </w:r>
      <w:r w:rsidR="00F56CBF">
        <w:t>6-month review period</w:t>
      </w:r>
      <w:r>
        <w:t xml:space="preserve">, OCRA handled </w:t>
      </w:r>
      <w:r w:rsidR="00F56CBF">
        <w:t>5,120</w:t>
      </w:r>
      <w:r>
        <w:t xml:space="preserve"> matters.  </w:t>
      </w:r>
      <w:r w:rsidR="002E2352" w:rsidRPr="002E2352">
        <w:t xml:space="preserve">There were </w:t>
      </w:r>
      <w:r w:rsidR="00F56CBF">
        <w:t>two</w:t>
      </w:r>
      <w:r w:rsidR="002E2352" w:rsidRPr="002E2352">
        <w:t xml:space="preserve"> first level grievances filed by consumers or their families</w:t>
      </w:r>
      <w:r>
        <w:t xml:space="preserve">.  </w:t>
      </w:r>
      <w:r w:rsidR="00F56CBF">
        <w:t xml:space="preserve">Neither of the grievances </w:t>
      </w:r>
      <w:r w:rsidR="002E2352" w:rsidRPr="002E2352">
        <w:t>proceeded to the second level to be heard by the Disability Rights</w:t>
      </w:r>
      <w:r w:rsidR="00BA6B40">
        <w:t xml:space="preserve"> California Board of Directors.  </w:t>
      </w:r>
      <w:r w:rsidR="002E2352" w:rsidRPr="00645932">
        <w:t xml:space="preserve">Attached as Exhibit L is a chart detailing the grievances filed against OCRA during this </w:t>
      </w:r>
      <w:proofErr w:type="gramStart"/>
      <w:r w:rsidR="002E2352" w:rsidRPr="00645932">
        <w:t>period.</w:t>
      </w:r>
      <w:proofErr w:type="gramEnd"/>
      <w:r w:rsidR="002E2352" w:rsidRPr="00645932">
        <w:t xml:space="preserve"> </w:t>
      </w:r>
    </w:p>
    <w:p w14:paraId="3A465A37" w14:textId="77777777" w:rsidR="002E2352" w:rsidRPr="002E2352" w:rsidRDefault="002E2352" w:rsidP="00D57E48">
      <w:pPr>
        <w:pStyle w:val="Heading1"/>
      </w:pPr>
      <w:bookmarkStart w:id="41" w:name="_Toc428549028"/>
      <w:bookmarkStart w:id="42" w:name="_Toc441673605"/>
      <w:r w:rsidRPr="002E2352">
        <w:t>VI. COLLECTION OF ATTORNEYS FEES</w:t>
      </w:r>
      <w:bookmarkEnd w:id="41"/>
      <w:bookmarkEnd w:id="42"/>
      <w:r w:rsidRPr="002E2352">
        <w:t xml:space="preserve"> </w:t>
      </w:r>
    </w:p>
    <w:p w14:paraId="37FFC852" w14:textId="77777777" w:rsidR="002E2352" w:rsidRPr="002E2352" w:rsidRDefault="002E2352" w:rsidP="00645932">
      <w:r w:rsidRPr="002E2352">
        <w:t xml:space="preserve">OCRA does not charge consumers, their families or advocates fees for services nor does OCRA seek to recover costs from these individuals. </w:t>
      </w:r>
      <w:r w:rsidRPr="002E2352">
        <w:lastRenderedPageBreak/>
        <w:t>Clients’ Rights Advocates who are licensed to practice law in California, or Assistant , Associate, or unlicensed Clients’ Rights Advocates, all of whom work under the supervision of an attorney, can collect attorney’s fees and costs similar to those collected by private attorneys or advocates for special education cases or other cases where there are statutory attorney’s fees.</w:t>
      </w:r>
      <w:r w:rsidR="00C66CEC">
        <w:t xml:space="preserve">  </w:t>
      </w:r>
      <w:r w:rsidRPr="002E2352">
        <w:t>Neither Disability Rights California nor OCRA ever collect att</w:t>
      </w:r>
      <w:r w:rsidR="007B2A0A">
        <w:t>orney’s fees from consumers.</w:t>
      </w:r>
    </w:p>
    <w:p w14:paraId="6AB4D18C" w14:textId="77777777" w:rsidR="002E2352" w:rsidRPr="002E2352" w:rsidRDefault="00F60749" w:rsidP="00645932">
      <w:r>
        <w:t xml:space="preserve">OCRA collected $1,200 in attorney’s fees from an ADA Title III complaint </w:t>
      </w:r>
      <w:r w:rsidR="002E2352" w:rsidRPr="00F60749">
        <w:t>this fiscal year, see Exhibit M.</w:t>
      </w:r>
      <w:r w:rsidR="002E2352" w:rsidRPr="002E2352">
        <w:t xml:space="preserve"> </w:t>
      </w:r>
    </w:p>
    <w:p w14:paraId="35D7C6F2" w14:textId="77777777" w:rsidR="002E2352" w:rsidRPr="002E2352" w:rsidRDefault="002E2352" w:rsidP="00D57E48">
      <w:pPr>
        <w:pStyle w:val="Heading1"/>
      </w:pPr>
      <w:bookmarkStart w:id="43" w:name="_Toc428549030"/>
      <w:bookmarkStart w:id="44" w:name="_Toc441673606"/>
      <w:r w:rsidRPr="002E2352">
        <w:t>VIII. CONCLUSION</w:t>
      </w:r>
      <w:bookmarkEnd w:id="43"/>
      <w:bookmarkEnd w:id="44"/>
      <w:r w:rsidRPr="002E2352">
        <w:t xml:space="preserve"> </w:t>
      </w:r>
    </w:p>
    <w:p w14:paraId="31F7F8A6" w14:textId="77777777" w:rsidR="00B01716" w:rsidRDefault="002E2352" w:rsidP="00645932">
      <w:r w:rsidRPr="002E2352">
        <w:t xml:space="preserve">OCRA </w:t>
      </w:r>
      <w:r w:rsidR="007B2A0A">
        <w:t xml:space="preserve">has </w:t>
      </w:r>
      <w:r w:rsidRPr="002E2352">
        <w:t xml:space="preserve">continued to provide exceptional service to people with developmental disabilities throughout the state. </w:t>
      </w:r>
      <w:r w:rsidR="007B2A0A">
        <w:t xml:space="preserve"> </w:t>
      </w:r>
      <w:r w:rsidRPr="002E2352">
        <w:t xml:space="preserve">OCRA handled </w:t>
      </w:r>
      <w:r w:rsidR="00F56CBF">
        <w:t>5,120</w:t>
      </w:r>
      <w:r w:rsidRPr="002E2352">
        <w:t xml:space="preserve"> cases</w:t>
      </w:r>
      <w:r w:rsidR="00F56CBF">
        <w:t xml:space="preserve"> for 3,611 different clients</w:t>
      </w:r>
      <w:r w:rsidRPr="002E2352">
        <w:t>.</w:t>
      </w:r>
      <w:r w:rsidR="007B2A0A">
        <w:t xml:space="preserve"> </w:t>
      </w:r>
      <w:r w:rsidR="00F56CBF">
        <w:t xml:space="preserve"> </w:t>
      </w:r>
      <w:r w:rsidR="007B2A0A">
        <w:t xml:space="preserve">Additionally, OCRA provided </w:t>
      </w:r>
      <w:r w:rsidR="00F56CBF">
        <w:t>178</w:t>
      </w:r>
      <w:r w:rsidR="007B2A0A">
        <w:t xml:space="preserve"> trainings to over </w:t>
      </w:r>
      <w:r w:rsidR="00F56CBF">
        <w:t>6,840</w:t>
      </w:r>
      <w:r w:rsidRPr="002E2352">
        <w:t xml:space="preserve"> consumers, family members, regional center staff and vendors, and intere</w:t>
      </w:r>
      <w:r w:rsidR="007B2A0A">
        <w:t>sted community members - a</w:t>
      </w:r>
      <w:r w:rsidRPr="002E2352">
        <w:t xml:space="preserve">ll while meeting each of its performance objectives. </w:t>
      </w:r>
      <w:r w:rsidR="007B2A0A">
        <w:t xml:space="preserve"> </w:t>
      </w:r>
      <w:r w:rsidRPr="002E2352">
        <w:t>OCRA looks forward to continuing to work with people with developmental disabilities and helping access the services and supports they need to live the most independent and productive lives in the least restrictive environment.</w:t>
      </w:r>
    </w:p>
    <w:sectPr w:rsidR="00B01716" w:rsidSect="00C80132">
      <w:headerReference w:type="even" r:id="rId18"/>
      <w:headerReference w:type="default" r:id="rId19"/>
      <w:footerReference w:type="even" r:id="rId20"/>
      <w:footerReference w:type="default" r:id="rId21"/>
      <w:headerReference w:type="first" r:id="rId22"/>
      <w:footerReference w:type="first" r:id="rId2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1737" w14:textId="77777777" w:rsidR="00547681" w:rsidRDefault="00547681" w:rsidP="005423A1">
      <w:pPr>
        <w:spacing w:after="0" w:line="240" w:lineRule="auto"/>
      </w:pPr>
      <w:r>
        <w:separator/>
      </w:r>
    </w:p>
  </w:endnote>
  <w:endnote w:type="continuationSeparator" w:id="0">
    <w:p w14:paraId="369DC467" w14:textId="77777777" w:rsidR="00547681" w:rsidRDefault="00547681" w:rsidP="0054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0A4C" w14:textId="77777777" w:rsidR="00175A8A" w:rsidRDefault="00175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42A1" w14:textId="77777777" w:rsidR="00547681" w:rsidRPr="00175A8A" w:rsidRDefault="00547681" w:rsidP="00175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C120" w14:textId="77777777" w:rsidR="00175A8A" w:rsidRDefault="00175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D077" w14:textId="77777777" w:rsidR="00547681" w:rsidRDefault="00547681" w:rsidP="005423A1">
      <w:pPr>
        <w:spacing w:after="0" w:line="240" w:lineRule="auto"/>
      </w:pPr>
      <w:r>
        <w:separator/>
      </w:r>
    </w:p>
  </w:footnote>
  <w:footnote w:type="continuationSeparator" w:id="0">
    <w:p w14:paraId="1E14886F" w14:textId="77777777" w:rsidR="00547681" w:rsidRDefault="00547681" w:rsidP="0054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79AB" w14:textId="77777777" w:rsidR="00175A8A" w:rsidRDefault="00175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6E26" w14:textId="77777777" w:rsidR="00175A8A" w:rsidRDefault="00175A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992F" w14:textId="77777777" w:rsidR="00175A8A" w:rsidRDefault="00175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7CC7"/>
    <w:multiLevelType w:val="hybridMultilevel"/>
    <w:tmpl w:val="5AD2929C"/>
    <w:lvl w:ilvl="0" w:tplc="12A00B2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E0C63E6"/>
    <w:multiLevelType w:val="hybridMultilevel"/>
    <w:tmpl w:val="9736A290"/>
    <w:lvl w:ilvl="0" w:tplc="86341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45AF5"/>
    <w:multiLevelType w:val="hybridMultilevel"/>
    <w:tmpl w:val="2A126676"/>
    <w:lvl w:ilvl="0" w:tplc="3E12C53C">
      <w:start w:val="5"/>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52"/>
    <w:rsid w:val="00011975"/>
    <w:rsid w:val="00026250"/>
    <w:rsid w:val="0005630A"/>
    <w:rsid w:val="000B5A36"/>
    <w:rsid w:val="000C78E6"/>
    <w:rsid w:val="000F462F"/>
    <w:rsid w:val="000F5326"/>
    <w:rsid w:val="0010733B"/>
    <w:rsid w:val="001125DA"/>
    <w:rsid w:val="00127ACE"/>
    <w:rsid w:val="00164EB9"/>
    <w:rsid w:val="00173BD6"/>
    <w:rsid w:val="00175A8A"/>
    <w:rsid w:val="00180094"/>
    <w:rsid w:val="001A5661"/>
    <w:rsid w:val="001C4ACE"/>
    <w:rsid w:val="001F77B3"/>
    <w:rsid w:val="00212123"/>
    <w:rsid w:val="00224B3A"/>
    <w:rsid w:val="00253AA7"/>
    <w:rsid w:val="00257590"/>
    <w:rsid w:val="0026715C"/>
    <w:rsid w:val="002806F1"/>
    <w:rsid w:val="002C249B"/>
    <w:rsid w:val="002E2352"/>
    <w:rsid w:val="002E566F"/>
    <w:rsid w:val="002F729B"/>
    <w:rsid w:val="00307185"/>
    <w:rsid w:val="00342493"/>
    <w:rsid w:val="003A1C3E"/>
    <w:rsid w:val="0040557C"/>
    <w:rsid w:val="00414FD4"/>
    <w:rsid w:val="004400AA"/>
    <w:rsid w:val="00464269"/>
    <w:rsid w:val="004834BB"/>
    <w:rsid w:val="00497E12"/>
    <w:rsid w:val="004D7C9C"/>
    <w:rsid w:val="004E0866"/>
    <w:rsid w:val="004E49B6"/>
    <w:rsid w:val="004E5D55"/>
    <w:rsid w:val="004E60F6"/>
    <w:rsid w:val="00541B32"/>
    <w:rsid w:val="005423A1"/>
    <w:rsid w:val="00547681"/>
    <w:rsid w:val="00576586"/>
    <w:rsid w:val="00580A7F"/>
    <w:rsid w:val="005849F0"/>
    <w:rsid w:val="005A387E"/>
    <w:rsid w:val="005A4EBF"/>
    <w:rsid w:val="005C0FCC"/>
    <w:rsid w:val="005C729D"/>
    <w:rsid w:val="005E1917"/>
    <w:rsid w:val="005E77A0"/>
    <w:rsid w:val="00622F2E"/>
    <w:rsid w:val="00645932"/>
    <w:rsid w:val="00656058"/>
    <w:rsid w:val="006574EE"/>
    <w:rsid w:val="006800F2"/>
    <w:rsid w:val="0069408C"/>
    <w:rsid w:val="006A6974"/>
    <w:rsid w:val="006A69D9"/>
    <w:rsid w:val="006F0219"/>
    <w:rsid w:val="006F0AE5"/>
    <w:rsid w:val="00721B01"/>
    <w:rsid w:val="00737C45"/>
    <w:rsid w:val="00757AE6"/>
    <w:rsid w:val="00784ECE"/>
    <w:rsid w:val="00791A44"/>
    <w:rsid w:val="007A2DFB"/>
    <w:rsid w:val="007A609A"/>
    <w:rsid w:val="007B2A0A"/>
    <w:rsid w:val="007C3353"/>
    <w:rsid w:val="007D5BCF"/>
    <w:rsid w:val="007E6E2E"/>
    <w:rsid w:val="007F088C"/>
    <w:rsid w:val="007F36FF"/>
    <w:rsid w:val="00824CFD"/>
    <w:rsid w:val="00847D8F"/>
    <w:rsid w:val="00865311"/>
    <w:rsid w:val="00894452"/>
    <w:rsid w:val="008A3C15"/>
    <w:rsid w:val="008B1BFB"/>
    <w:rsid w:val="008B60A6"/>
    <w:rsid w:val="008C4A47"/>
    <w:rsid w:val="008D125E"/>
    <w:rsid w:val="008D459E"/>
    <w:rsid w:val="008F3B87"/>
    <w:rsid w:val="008F68C9"/>
    <w:rsid w:val="0090081D"/>
    <w:rsid w:val="00902931"/>
    <w:rsid w:val="009125B8"/>
    <w:rsid w:val="00917A81"/>
    <w:rsid w:val="009B3FBD"/>
    <w:rsid w:val="009C431A"/>
    <w:rsid w:val="009D6AD5"/>
    <w:rsid w:val="009D7898"/>
    <w:rsid w:val="00A02F4A"/>
    <w:rsid w:val="00A03D9E"/>
    <w:rsid w:val="00A2492B"/>
    <w:rsid w:val="00A63B4A"/>
    <w:rsid w:val="00A8487A"/>
    <w:rsid w:val="00AA4379"/>
    <w:rsid w:val="00AD030B"/>
    <w:rsid w:val="00AF2723"/>
    <w:rsid w:val="00B01716"/>
    <w:rsid w:val="00B04AFE"/>
    <w:rsid w:val="00B261A0"/>
    <w:rsid w:val="00B27D40"/>
    <w:rsid w:val="00B31EDE"/>
    <w:rsid w:val="00B85119"/>
    <w:rsid w:val="00BA1BB3"/>
    <w:rsid w:val="00BA6B40"/>
    <w:rsid w:val="00BF6250"/>
    <w:rsid w:val="00BF7419"/>
    <w:rsid w:val="00C00BF8"/>
    <w:rsid w:val="00C11885"/>
    <w:rsid w:val="00C348BE"/>
    <w:rsid w:val="00C355FA"/>
    <w:rsid w:val="00C622FA"/>
    <w:rsid w:val="00C66CEC"/>
    <w:rsid w:val="00C77FF0"/>
    <w:rsid w:val="00C80132"/>
    <w:rsid w:val="00C83DC2"/>
    <w:rsid w:val="00C85D62"/>
    <w:rsid w:val="00CA0344"/>
    <w:rsid w:val="00CB219D"/>
    <w:rsid w:val="00CC29EC"/>
    <w:rsid w:val="00CF08DA"/>
    <w:rsid w:val="00D36D09"/>
    <w:rsid w:val="00D57E48"/>
    <w:rsid w:val="00D66EF4"/>
    <w:rsid w:val="00D712AA"/>
    <w:rsid w:val="00D75CCE"/>
    <w:rsid w:val="00D90579"/>
    <w:rsid w:val="00E06AB6"/>
    <w:rsid w:val="00E312E9"/>
    <w:rsid w:val="00E34D59"/>
    <w:rsid w:val="00EB0DB8"/>
    <w:rsid w:val="00EB2C97"/>
    <w:rsid w:val="00F1602A"/>
    <w:rsid w:val="00F370DA"/>
    <w:rsid w:val="00F56CBF"/>
    <w:rsid w:val="00F60749"/>
    <w:rsid w:val="00F643BC"/>
    <w:rsid w:val="00F7744A"/>
    <w:rsid w:val="00F956DD"/>
    <w:rsid w:val="00F95FBE"/>
    <w:rsid w:val="00FA0A91"/>
    <w:rsid w:val="00FA0CC5"/>
    <w:rsid w:val="00FA3FB1"/>
    <w:rsid w:val="00FE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AB7D440"/>
  <w15:chartTrackingRefBased/>
  <w15:docId w15:val="{5268E41D-B0CC-47D0-8220-B8954670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885"/>
    <w:pPr>
      <w:keepNext/>
      <w:keepLines/>
      <w:spacing w:before="240" w:after="24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57E48"/>
    <w:pPr>
      <w:keepNext/>
      <w:keepLines/>
      <w:spacing w:before="240" w:after="240" w:line="240" w:lineRule="auto"/>
      <w:ind w:left="288"/>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FA3FB1"/>
    <w:pPr>
      <w:keepNext/>
      <w:keepLines/>
      <w:spacing w:before="240" w:after="240" w:line="240" w:lineRule="auto"/>
      <w:ind w:left="576"/>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AE5"/>
    <w:rPr>
      <w:rFonts w:ascii="Times New Roman" w:hAnsi="Times New Roman" w:cs="Times New Roman"/>
      <w:sz w:val="24"/>
      <w:szCs w:val="24"/>
    </w:rPr>
  </w:style>
  <w:style w:type="paragraph" w:styleId="Header">
    <w:name w:val="header"/>
    <w:basedOn w:val="Normal"/>
    <w:link w:val="HeaderChar"/>
    <w:uiPriority w:val="99"/>
    <w:unhideWhenUsed/>
    <w:rsid w:val="0054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A1"/>
  </w:style>
  <w:style w:type="paragraph" w:styleId="Footer">
    <w:name w:val="footer"/>
    <w:basedOn w:val="Normal"/>
    <w:link w:val="FooterChar"/>
    <w:uiPriority w:val="99"/>
    <w:unhideWhenUsed/>
    <w:rsid w:val="0054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A1"/>
  </w:style>
  <w:style w:type="character" w:customStyle="1" w:styleId="Heading1Char">
    <w:name w:val="Heading 1 Char"/>
    <w:basedOn w:val="DefaultParagraphFont"/>
    <w:link w:val="Heading1"/>
    <w:uiPriority w:val="9"/>
    <w:rsid w:val="00C11885"/>
    <w:rPr>
      <w:rFonts w:eastAsiaTheme="majorEastAsia" w:cstheme="majorBidi"/>
      <w:b/>
      <w:szCs w:val="32"/>
    </w:rPr>
  </w:style>
  <w:style w:type="character" w:customStyle="1" w:styleId="Heading2Char">
    <w:name w:val="Heading 2 Char"/>
    <w:basedOn w:val="DefaultParagraphFont"/>
    <w:link w:val="Heading2"/>
    <w:uiPriority w:val="9"/>
    <w:rsid w:val="00D57E48"/>
    <w:rPr>
      <w:rFonts w:eastAsiaTheme="majorEastAsia" w:cstheme="majorBidi"/>
      <w:b/>
      <w:szCs w:val="26"/>
      <w:u w:val="single"/>
    </w:rPr>
  </w:style>
  <w:style w:type="character" w:customStyle="1" w:styleId="Heading3Char">
    <w:name w:val="Heading 3 Char"/>
    <w:basedOn w:val="DefaultParagraphFont"/>
    <w:link w:val="Heading3"/>
    <w:uiPriority w:val="9"/>
    <w:rsid w:val="00FA3FB1"/>
    <w:rPr>
      <w:rFonts w:eastAsiaTheme="majorEastAsia" w:cstheme="majorBidi"/>
      <w:b/>
      <w:szCs w:val="24"/>
      <w:u w:val="single"/>
    </w:rPr>
  </w:style>
  <w:style w:type="paragraph" w:styleId="PlainText">
    <w:name w:val="Plain Text"/>
    <w:basedOn w:val="Normal"/>
    <w:link w:val="PlainTextChar"/>
    <w:uiPriority w:val="99"/>
    <w:semiHidden/>
    <w:unhideWhenUsed/>
    <w:rsid w:val="00FA0A91"/>
    <w:pPr>
      <w:spacing w:after="0" w:line="240" w:lineRule="auto"/>
    </w:pPr>
    <w:rPr>
      <w:rFonts w:eastAsia="Times New Roman" w:cs="Times New Roman"/>
      <w:szCs w:val="21"/>
    </w:rPr>
  </w:style>
  <w:style w:type="character" w:customStyle="1" w:styleId="PlainTextChar">
    <w:name w:val="Plain Text Char"/>
    <w:basedOn w:val="DefaultParagraphFont"/>
    <w:link w:val="PlainText"/>
    <w:uiPriority w:val="99"/>
    <w:semiHidden/>
    <w:rsid w:val="00FA0A91"/>
    <w:rPr>
      <w:rFonts w:eastAsia="Times New Roman" w:cs="Times New Roman"/>
      <w:szCs w:val="21"/>
    </w:rPr>
  </w:style>
  <w:style w:type="paragraph" w:styleId="TOCHeading">
    <w:name w:val="TOC Heading"/>
    <w:basedOn w:val="Heading1"/>
    <w:next w:val="Normal"/>
    <w:uiPriority w:val="39"/>
    <w:unhideWhenUsed/>
    <w:qFormat/>
    <w:rsid w:val="005A4EBF"/>
    <w:pPr>
      <w:spacing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A4EBF"/>
    <w:pPr>
      <w:spacing w:after="100"/>
    </w:pPr>
  </w:style>
  <w:style w:type="paragraph" w:styleId="TOC2">
    <w:name w:val="toc 2"/>
    <w:basedOn w:val="Normal"/>
    <w:next w:val="Normal"/>
    <w:autoRedefine/>
    <w:uiPriority w:val="39"/>
    <w:unhideWhenUsed/>
    <w:rsid w:val="005A4EBF"/>
    <w:pPr>
      <w:spacing w:after="100"/>
      <w:ind w:left="280"/>
    </w:pPr>
  </w:style>
  <w:style w:type="paragraph" w:styleId="TOC3">
    <w:name w:val="toc 3"/>
    <w:basedOn w:val="Normal"/>
    <w:next w:val="Normal"/>
    <w:autoRedefine/>
    <w:uiPriority w:val="39"/>
    <w:unhideWhenUsed/>
    <w:rsid w:val="005A4EBF"/>
    <w:pPr>
      <w:spacing w:after="100"/>
      <w:ind w:left="560"/>
    </w:pPr>
  </w:style>
  <w:style w:type="character" w:styleId="Hyperlink">
    <w:name w:val="Hyperlink"/>
    <w:basedOn w:val="DefaultParagraphFont"/>
    <w:uiPriority w:val="99"/>
    <w:unhideWhenUsed/>
    <w:rsid w:val="005A4EBF"/>
    <w:rPr>
      <w:color w:val="0563C1" w:themeColor="hyperlink"/>
      <w:u w:val="single"/>
    </w:rPr>
  </w:style>
  <w:style w:type="paragraph" w:styleId="BalloonText">
    <w:name w:val="Balloon Text"/>
    <w:basedOn w:val="Normal"/>
    <w:link w:val="BalloonTextChar"/>
    <w:uiPriority w:val="99"/>
    <w:semiHidden/>
    <w:unhideWhenUsed/>
    <w:rsid w:val="007F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88C"/>
    <w:rPr>
      <w:rFonts w:ascii="Segoe UI" w:hAnsi="Segoe UI" w:cs="Segoe UI"/>
      <w:sz w:val="18"/>
      <w:szCs w:val="18"/>
    </w:rPr>
  </w:style>
  <w:style w:type="character" w:styleId="CommentReference">
    <w:name w:val="annotation reference"/>
    <w:basedOn w:val="DefaultParagraphFont"/>
    <w:uiPriority w:val="99"/>
    <w:semiHidden/>
    <w:unhideWhenUsed/>
    <w:rsid w:val="00127ACE"/>
    <w:rPr>
      <w:sz w:val="16"/>
      <w:szCs w:val="16"/>
    </w:rPr>
  </w:style>
  <w:style w:type="paragraph" w:styleId="CommentText">
    <w:name w:val="annotation text"/>
    <w:basedOn w:val="Normal"/>
    <w:link w:val="CommentTextChar"/>
    <w:uiPriority w:val="99"/>
    <w:semiHidden/>
    <w:unhideWhenUsed/>
    <w:rsid w:val="00127ACE"/>
    <w:pPr>
      <w:spacing w:line="240" w:lineRule="auto"/>
    </w:pPr>
    <w:rPr>
      <w:sz w:val="20"/>
      <w:szCs w:val="20"/>
    </w:rPr>
  </w:style>
  <w:style w:type="character" w:customStyle="1" w:styleId="CommentTextChar">
    <w:name w:val="Comment Text Char"/>
    <w:basedOn w:val="DefaultParagraphFont"/>
    <w:link w:val="CommentText"/>
    <w:uiPriority w:val="99"/>
    <w:semiHidden/>
    <w:rsid w:val="00127ACE"/>
    <w:rPr>
      <w:sz w:val="20"/>
      <w:szCs w:val="20"/>
    </w:rPr>
  </w:style>
  <w:style w:type="paragraph" w:styleId="CommentSubject">
    <w:name w:val="annotation subject"/>
    <w:basedOn w:val="CommentText"/>
    <w:next w:val="CommentText"/>
    <w:link w:val="CommentSubjectChar"/>
    <w:uiPriority w:val="99"/>
    <w:semiHidden/>
    <w:unhideWhenUsed/>
    <w:rsid w:val="00127ACE"/>
    <w:rPr>
      <w:b/>
      <w:bCs/>
    </w:rPr>
  </w:style>
  <w:style w:type="character" w:customStyle="1" w:styleId="CommentSubjectChar">
    <w:name w:val="Comment Subject Char"/>
    <w:basedOn w:val="CommentTextChar"/>
    <w:link w:val="CommentSubject"/>
    <w:uiPriority w:val="99"/>
    <w:semiHidden/>
    <w:rsid w:val="00127ACE"/>
    <w:rPr>
      <w:b/>
      <w:bCs/>
      <w:sz w:val="20"/>
      <w:szCs w:val="20"/>
    </w:rPr>
  </w:style>
  <w:style w:type="paragraph" w:styleId="NoSpacing">
    <w:name w:val="No Spacing"/>
    <w:uiPriority w:val="1"/>
    <w:qFormat/>
    <w:rsid w:val="008A3C15"/>
    <w:pPr>
      <w:spacing w:after="0" w:line="240" w:lineRule="auto"/>
    </w:pPr>
    <w:rPr>
      <w:rFonts w:asciiTheme="minorHAnsi" w:hAnsiTheme="minorHAnsi" w:cstheme="minorBidi"/>
      <w:sz w:val="22"/>
      <w:szCs w:val="22"/>
    </w:rPr>
  </w:style>
  <w:style w:type="paragraph" w:styleId="Title">
    <w:name w:val="Title"/>
    <w:basedOn w:val="Normal"/>
    <w:next w:val="Normal"/>
    <w:link w:val="TitleChar"/>
    <w:uiPriority w:val="10"/>
    <w:qFormat/>
    <w:rsid w:val="00C80132"/>
    <w:pPr>
      <w:spacing w:after="0" w:line="24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C80132"/>
    <w:rPr>
      <w:rFonts w:eastAsiaTheme="majorEastAsia"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424">
      <w:bodyDiv w:val="1"/>
      <w:marLeft w:val="0"/>
      <w:marRight w:val="0"/>
      <w:marTop w:val="0"/>
      <w:marBottom w:val="0"/>
      <w:divBdr>
        <w:top w:val="none" w:sz="0" w:space="0" w:color="auto"/>
        <w:left w:val="none" w:sz="0" w:space="0" w:color="auto"/>
        <w:bottom w:val="none" w:sz="0" w:space="0" w:color="auto"/>
        <w:right w:val="none" w:sz="0" w:space="0" w:color="auto"/>
      </w:divBdr>
    </w:div>
    <w:div w:id="1266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78-EB61-45BF-ADD1-2E60DB6E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Directors Report July2015toDec2015</vt:lpstr>
    </vt:vector>
  </TitlesOfParts>
  <Company>Disability Rights California</Company>
  <LinksUpToDate>false</LinksUpToDate>
  <CharactersWithSpaces>37924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Report July2015toDec2015</dc:title>
  <dc:subject>Directors Report July2015toDec2015</dc:subject>
  <dc:creator>Katie Meyer</dc:creator>
  <cp:keywords>Directors Report July2015toDec2015</cp:keywords>
  <dc:description/>
  <cp:lastModifiedBy>Alice Ximenez</cp:lastModifiedBy>
  <cp:revision>4</cp:revision>
  <cp:lastPrinted>2016-02-08T16:42:00Z</cp:lastPrinted>
  <dcterms:created xsi:type="dcterms:W3CDTF">2016-02-08T16:41:00Z</dcterms:created>
  <dcterms:modified xsi:type="dcterms:W3CDTF">2016-02-08T16:42:00Z</dcterms:modified>
</cp:coreProperties>
</file>